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8A23A" w14:textId="77777777" w:rsidR="00801B20" w:rsidRDefault="00801B20" w:rsidP="003946EA">
      <w:pPr>
        <w:ind w:left="5040" w:firstLine="720"/>
      </w:pPr>
    </w:p>
    <w:p w14:paraId="3F248893" w14:textId="77777777" w:rsidR="00801B20" w:rsidRDefault="00801B20" w:rsidP="003946EA">
      <w:pPr>
        <w:ind w:left="5040" w:firstLine="720"/>
      </w:pPr>
    </w:p>
    <w:p w14:paraId="779852D4" w14:textId="77777777" w:rsidR="00801B20" w:rsidRDefault="00801B20" w:rsidP="003946EA">
      <w:pPr>
        <w:ind w:left="5040" w:firstLine="720"/>
      </w:pPr>
    </w:p>
    <w:p w14:paraId="421FE454" w14:textId="28EFC6B6" w:rsidR="003946EA" w:rsidRDefault="003946EA" w:rsidP="00801B20">
      <w:pPr>
        <w:ind w:left="5040" w:firstLine="720"/>
      </w:pPr>
      <w:r>
        <w:t xml:space="preserve">  </w:t>
      </w:r>
    </w:p>
    <w:p w14:paraId="53CF034E" w14:textId="77777777" w:rsidR="003946EA" w:rsidRDefault="003946EA" w:rsidP="003946EA">
      <w:pPr>
        <w:ind w:left="5040" w:firstLine="720"/>
      </w:pPr>
    </w:p>
    <w:p w14:paraId="4B5EF3DA" w14:textId="77777777" w:rsidR="003946EA" w:rsidRDefault="003946EA" w:rsidP="003946EA">
      <w:pPr>
        <w:ind w:left="5040" w:firstLine="720"/>
      </w:pPr>
    </w:p>
    <w:p w14:paraId="1B48974D" w14:textId="77777777" w:rsidR="003946EA" w:rsidRDefault="003946EA" w:rsidP="003946EA">
      <w:pPr>
        <w:ind w:left="5040" w:firstLine="720"/>
      </w:pPr>
    </w:p>
    <w:p w14:paraId="6D1372B1" w14:textId="2F51D602" w:rsidR="003946EA" w:rsidRDefault="003946EA" w:rsidP="003946EA">
      <w:pPr>
        <w:ind w:left="5040" w:firstLine="720"/>
      </w:pPr>
      <w:r>
        <w:t xml:space="preserve"> January 11, 2021</w:t>
      </w:r>
    </w:p>
    <w:p w14:paraId="79CC4F67" w14:textId="578CE02B" w:rsidR="003946EA" w:rsidRDefault="00033967">
      <w:r w:rsidRPr="005442DE">
        <w:rPr>
          <w:b/>
        </w:rPr>
        <w:t>T</w:t>
      </w:r>
      <w:r w:rsidR="003946EA">
        <w:rPr>
          <w:b/>
        </w:rPr>
        <w:t>HAT</w:t>
      </w:r>
      <w:r w:rsidRPr="005442DE">
        <w:rPr>
          <w:b/>
        </w:rPr>
        <w:t xml:space="preserve"> </w:t>
      </w:r>
      <w:r>
        <w:t xml:space="preserve">the City Council of the City of Newburyport hereby amends the following fees </w:t>
      </w:r>
      <w:r w:rsidR="003946EA">
        <w:t>for Department of Public Services’ Water and Sewer Division</w:t>
      </w:r>
      <w:r w:rsidR="00605841">
        <w:t>,</w:t>
      </w:r>
      <w:r w:rsidR="003946EA">
        <w:t xml:space="preserve"> as recommended and approved by the </w:t>
      </w:r>
      <w:r w:rsidR="005442DE">
        <w:t>Water and Sewer Commission on October 28,</w:t>
      </w:r>
      <w:r w:rsidR="00605841">
        <w:t xml:space="preserve"> </w:t>
      </w:r>
      <w:r w:rsidR="005442DE">
        <w:t>2020</w:t>
      </w:r>
      <w:r w:rsidR="00605841">
        <w:t>:</w:t>
      </w:r>
    </w:p>
    <w:p w14:paraId="1C938C0E" w14:textId="77777777" w:rsidR="00605841" w:rsidRDefault="006058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3967" w14:paraId="2C8B38C5" w14:textId="77777777" w:rsidTr="003946EA">
        <w:trPr>
          <w:trHeight w:val="647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0B9ACE9A" w14:textId="01E251D6" w:rsidR="00033967" w:rsidRPr="00252381" w:rsidRDefault="00033967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 xml:space="preserve">Water </w:t>
            </w:r>
            <w:r w:rsidR="00252381">
              <w:rPr>
                <w:b/>
              </w:rPr>
              <w:t>Service Charges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4CF4A177" w14:textId="77777777" w:rsidR="00033967" w:rsidRPr="00252381" w:rsidRDefault="00033967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Approved June 1, 2013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5FE342EC" w14:textId="3347B9A0" w:rsidR="00033967" w:rsidRPr="00252381" w:rsidRDefault="002E7EAE" w:rsidP="003946EA">
            <w:pPr>
              <w:jc w:val="center"/>
              <w:rPr>
                <w:b/>
              </w:rPr>
            </w:pPr>
            <w:r>
              <w:rPr>
                <w:b/>
              </w:rPr>
              <w:t>Proposed</w:t>
            </w:r>
          </w:p>
        </w:tc>
      </w:tr>
      <w:tr w:rsidR="00033967" w14:paraId="3F1D9001" w14:textId="77777777" w:rsidTr="003946EA">
        <w:trPr>
          <w:trHeight w:val="422"/>
        </w:trPr>
        <w:tc>
          <w:tcPr>
            <w:tcW w:w="3192" w:type="dxa"/>
            <w:vAlign w:val="center"/>
          </w:tcPr>
          <w:p w14:paraId="740D99A8" w14:textId="77777777" w:rsidR="00033967" w:rsidRPr="001D03DB" w:rsidRDefault="00033967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Emergency Call</w:t>
            </w:r>
          </w:p>
        </w:tc>
        <w:tc>
          <w:tcPr>
            <w:tcW w:w="3192" w:type="dxa"/>
            <w:vAlign w:val="center"/>
          </w:tcPr>
          <w:p w14:paraId="48CCB5CC" w14:textId="77777777" w:rsidR="00033967" w:rsidRPr="00252381" w:rsidRDefault="00033967" w:rsidP="003946EA">
            <w:pPr>
              <w:jc w:val="center"/>
            </w:pPr>
            <w:r w:rsidRPr="00252381">
              <w:t>$300</w:t>
            </w:r>
          </w:p>
        </w:tc>
        <w:tc>
          <w:tcPr>
            <w:tcW w:w="3192" w:type="dxa"/>
            <w:vAlign w:val="center"/>
          </w:tcPr>
          <w:p w14:paraId="70671F02" w14:textId="77777777" w:rsidR="00033967" w:rsidRPr="00252381" w:rsidRDefault="00033967" w:rsidP="003946EA">
            <w:pPr>
              <w:jc w:val="center"/>
            </w:pPr>
            <w:r w:rsidRPr="00252381">
              <w:t>$400</w:t>
            </w:r>
          </w:p>
        </w:tc>
      </w:tr>
      <w:tr w:rsidR="00033967" w14:paraId="57C6291D" w14:textId="77777777" w:rsidTr="003946EA">
        <w:trPr>
          <w:trHeight w:val="422"/>
        </w:trPr>
        <w:tc>
          <w:tcPr>
            <w:tcW w:w="3192" w:type="dxa"/>
            <w:vAlign w:val="center"/>
          </w:tcPr>
          <w:p w14:paraId="6C2A4F00" w14:textId="77777777" w:rsidR="00033967" w:rsidRPr="001D03DB" w:rsidRDefault="00033967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Water On/Off</w:t>
            </w:r>
          </w:p>
        </w:tc>
        <w:tc>
          <w:tcPr>
            <w:tcW w:w="3192" w:type="dxa"/>
            <w:vAlign w:val="center"/>
          </w:tcPr>
          <w:p w14:paraId="2E25AEA2" w14:textId="77777777" w:rsidR="00033967" w:rsidRPr="00252381" w:rsidRDefault="00033967" w:rsidP="003946EA">
            <w:pPr>
              <w:jc w:val="center"/>
            </w:pPr>
            <w:r w:rsidRPr="00252381">
              <w:t>$30</w:t>
            </w:r>
          </w:p>
        </w:tc>
        <w:tc>
          <w:tcPr>
            <w:tcW w:w="3192" w:type="dxa"/>
            <w:vAlign w:val="center"/>
          </w:tcPr>
          <w:p w14:paraId="76A94B99" w14:textId="77777777" w:rsidR="00033967" w:rsidRPr="00252381" w:rsidRDefault="00033967" w:rsidP="003946EA">
            <w:pPr>
              <w:jc w:val="center"/>
            </w:pPr>
            <w:r w:rsidRPr="00252381">
              <w:t>$50</w:t>
            </w:r>
          </w:p>
        </w:tc>
      </w:tr>
      <w:tr w:rsidR="00033967" w14:paraId="5403E768" w14:textId="77777777" w:rsidTr="003946EA">
        <w:trPr>
          <w:trHeight w:val="602"/>
        </w:trPr>
        <w:tc>
          <w:tcPr>
            <w:tcW w:w="3192" w:type="dxa"/>
            <w:vAlign w:val="center"/>
          </w:tcPr>
          <w:p w14:paraId="6824132D" w14:textId="77777777" w:rsidR="00033967" w:rsidRPr="001D03DB" w:rsidRDefault="00033967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Water off, Meter Out</w:t>
            </w:r>
          </w:p>
          <w:p w14:paraId="4B0096CA" w14:textId="77777777" w:rsidR="00033967" w:rsidRPr="001D03DB" w:rsidRDefault="00033967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Water on, Meter In</w:t>
            </w:r>
          </w:p>
        </w:tc>
        <w:tc>
          <w:tcPr>
            <w:tcW w:w="3192" w:type="dxa"/>
            <w:vAlign w:val="center"/>
          </w:tcPr>
          <w:p w14:paraId="70A59D5E" w14:textId="77777777" w:rsidR="00033967" w:rsidRPr="00252381" w:rsidRDefault="00033967" w:rsidP="003946EA">
            <w:pPr>
              <w:jc w:val="center"/>
            </w:pPr>
            <w:r w:rsidRPr="00252381">
              <w:t>$60</w:t>
            </w:r>
          </w:p>
        </w:tc>
        <w:tc>
          <w:tcPr>
            <w:tcW w:w="3192" w:type="dxa"/>
            <w:vAlign w:val="center"/>
          </w:tcPr>
          <w:p w14:paraId="1C93251F" w14:textId="77777777" w:rsidR="00033967" w:rsidRPr="00252381" w:rsidRDefault="00033967" w:rsidP="003946EA">
            <w:pPr>
              <w:jc w:val="center"/>
            </w:pPr>
            <w:r w:rsidRPr="00252381">
              <w:t>$75</w:t>
            </w:r>
          </w:p>
        </w:tc>
      </w:tr>
      <w:tr w:rsidR="00033967" w14:paraId="4C84331F" w14:textId="77777777" w:rsidTr="003946EA">
        <w:trPr>
          <w:trHeight w:val="422"/>
        </w:trPr>
        <w:tc>
          <w:tcPr>
            <w:tcW w:w="3192" w:type="dxa"/>
            <w:vAlign w:val="center"/>
          </w:tcPr>
          <w:p w14:paraId="34D1761F" w14:textId="77777777" w:rsidR="00033967" w:rsidRPr="001D03DB" w:rsidRDefault="00033967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Labor – Water</w:t>
            </w:r>
          </w:p>
        </w:tc>
        <w:tc>
          <w:tcPr>
            <w:tcW w:w="3192" w:type="dxa"/>
            <w:vAlign w:val="center"/>
          </w:tcPr>
          <w:p w14:paraId="62AD47F8" w14:textId="77777777" w:rsidR="00033967" w:rsidRPr="00252381" w:rsidRDefault="00033967" w:rsidP="003946EA">
            <w:pPr>
              <w:jc w:val="center"/>
            </w:pPr>
            <w:r w:rsidRPr="00252381">
              <w:t>$60</w:t>
            </w:r>
          </w:p>
        </w:tc>
        <w:tc>
          <w:tcPr>
            <w:tcW w:w="3192" w:type="dxa"/>
            <w:vAlign w:val="center"/>
          </w:tcPr>
          <w:p w14:paraId="2CAEE497" w14:textId="77777777" w:rsidR="00033967" w:rsidRPr="00252381" w:rsidRDefault="00033967" w:rsidP="003946EA">
            <w:pPr>
              <w:jc w:val="center"/>
            </w:pPr>
            <w:r w:rsidRPr="00252381">
              <w:t>$75</w:t>
            </w:r>
          </w:p>
        </w:tc>
      </w:tr>
      <w:tr w:rsidR="00033967" w14:paraId="2C0C943B" w14:textId="77777777" w:rsidTr="003946EA">
        <w:trPr>
          <w:trHeight w:val="530"/>
        </w:trPr>
        <w:tc>
          <w:tcPr>
            <w:tcW w:w="3192" w:type="dxa"/>
            <w:vAlign w:val="center"/>
          </w:tcPr>
          <w:p w14:paraId="06AA03EF" w14:textId="77777777" w:rsidR="00033967" w:rsidRPr="001D03DB" w:rsidRDefault="00033967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Cut &amp; Cap Water Service</w:t>
            </w:r>
          </w:p>
        </w:tc>
        <w:tc>
          <w:tcPr>
            <w:tcW w:w="3192" w:type="dxa"/>
            <w:vAlign w:val="center"/>
          </w:tcPr>
          <w:p w14:paraId="436588DE" w14:textId="77777777" w:rsidR="00033967" w:rsidRPr="00252381" w:rsidRDefault="00033967" w:rsidP="003946EA">
            <w:pPr>
              <w:jc w:val="center"/>
            </w:pPr>
            <w:r w:rsidRPr="00252381">
              <w:t>$300</w:t>
            </w:r>
          </w:p>
        </w:tc>
        <w:tc>
          <w:tcPr>
            <w:tcW w:w="3192" w:type="dxa"/>
            <w:vAlign w:val="center"/>
          </w:tcPr>
          <w:p w14:paraId="29408A76" w14:textId="77777777" w:rsidR="00033967" w:rsidRPr="00252381" w:rsidRDefault="00033967" w:rsidP="003946EA">
            <w:pPr>
              <w:jc w:val="center"/>
            </w:pPr>
            <w:r w:rsidRPr="00252381">
              <w:t>$400</w:t>
            </w:r>
          </w:p>
        </w:tc>
      </w:tr>
      <w:tr w:rsidR="00033967" w14:paraId="1400FCB8" w14:textId="77777777" w:rsidTr="003946EA">
        <w:trPr>
          <w:trHeight w:val="530"/>
        </w:trPr>
        <w:tc>
          <w:tcPr>
            <w:tcW w:w="3192" w:type="dxa"/>
            <w:vAlign w:val="center"/>
          </w:tcPr>
          <w:p w14:paraId="799F5A38" w14:textId="77777777" w:rsidR="00033967" w:rsidRPr="001D03DB" w:rsidRDefault="00033967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Water Reconnect</w:t>
            </w:r>
          </w:p>
        </w:tc>
        <w:tc>
          <w:tcPr>
            <w:tcW w:w="3192" w:type="dxa"/>
            <w:vAlign w:val="center"/>
          </w:tcPr>
          <w:p w14:paraId="71551EC9" w14:textId="77777777" w:rsidR="00033967" w:rsidRPr="00252381" w:rsidRDefault="00033967" w:rsidP="003946EA">
            <w:pPr>
              <w:jc w:val="center"/>
            </w:pPr>
            <w:r w:rsidRPr="00252381">
              <w:t>$300</w:t>
            </w:r>
          </w:p>
        </w:tc>
        <w:tc>
          <w:tcPr>
            <w:tcW w:w="3192" w:type="dxa"/>
            <w:vAlign w:val="center"/>
          </w:tcPr>
          <w:p w14:paraId="698AFC61" w14:textId="77777777" w:rsidR="00033967" w:rsidRPr="00252381" w:rsidRDefault="00033967" w:rsidP="003946EA">
            <w:pPr>
              <w:jc w:val="center"/>
            </w:pPr>
            <w:r w:rsidRPr="00252381">
              <w:t>$400</w:t>
            </w:r>
          </w:p>
        </w:tc>
      </w:tr>
      <w:tr w:rsidR="00033967" w14:paraId="5821A72F" w14:textId="77777777" w:rsidTr="003946EA">
        <w:trPr>
          <w:trHeight w:val="440"/>
        </w:trPr>
        <w:tc>
          <w:tcPr>
            <w:tcW w:w="3192" w:type="dxa"/>
            <w:vAlign w:val="center"/>
          </w:tcPr>
          <w:p w14:paraId="04EBCC67" w14:textId="77777777" w:rsidR="00033967" w:rsidRPr="001D03DB" w:rsidRDefault="00033967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Property Transfer</w:t>
            </w:r>
          </w:p>
        </w:tc>
        <w:tc>
          <w:tcPr>
            <w:tcW w:w="3192" w:type="dxa"/>
            <w:vAlign w:val="center"/>
          </w:tcPr>
          <w:p w14:paraId="650D4FAD" w14:textId="77777777" w:rsidR="00033967" w:rsidRPr="00252381" w:rsidRDefault="00033967" w:rsidP="003946EA">
            <w:pPr>
              <w:jc w:val="center"/>
            </w:pPr>
            <w:r w:rsidRPr="00252381">
              <w:t>$50</w:t>
            </w:r>
          </w:p>
        </w:tc>
        <w:tc>
          <w:tcPr>
            <w:tcW w:w="3192" w:type="dxa"/>
            <w:vAlign w:val="center"/>
          </w:tcPr>
          <w:p w14:paraId="4AB68BE5" w14:textId="77777777" w:rsidR="00033967" w:rsidRPr="00252381" w:rsidRDefault="00033967" w:rsidP="003946EA">
            <w:pPr>
              <w:jc w:val="center"/>
            </w:pPr>
            <w:r w:rsidRPr="00252381">
              <w:t>$60</w:t>
            </w:r>
          </w:p>
        </w:tc>
      </w:tr>
      <w:tr w:rsidR="00033967" w14:paraId="28595F36" w14:textId="77777777" w:rsidTr="003946EA">
        <w:trPr>
          <w:trHeight w:val="440"/>
        </w:trPr>
        <w:tc>
          <w:tcPr>
            <w:tcW w:w="3192" w:type="dxa"/>
            <w:vAlign w:val="center"/>
          </w:tcPr>
          <w:p w14:paraId="1E178B7F" w14:textId="77777777" w:rsidR="00033967" w:rsidRPr="001D03DB" w:rsidRDefault="00DB5753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Hydrant Flow Test</w:t>
            </w:r>
          </w:p>
        </w:tc>
        <w:tc>
          <w:tcPr>
            <w:tcW w:w="3192" w:type="dxa"/>
            <w:vAlign w:val="center"/>
          </w:tcPr>
          <w:p w14:paraId="084F3D50" w14:textId="77777777" w:rsidR="00033967" w:rsidRPr="00252381" w:rsidRDefault="00DB5753" w:rsidP="003946EA">
            <w:pPr>
              <w:jc w:val="center"/>
            </w:pPr>
            <w:r w:rsidRPr="00252381">
              <w:t>$100</w:t>
            </w:r>
          </w:p>
        </w:tc>
        <w:tc>
          <w:tcPr>
            <w:tcW w:w="3192" w:type="dxa"/>
            <w:vAlign w:val="center"/>
          </w:tcPr>
          <w:p w14:paraId="62EFE60D" w14:textId="77777777" w:rsidR="00033967" w:rsidRPr="00252381" w:rsidRDefault="00DB5753" w:rsidP="003946EA">
            <w:pPr>
              <w:jc w:val="center"/>
            </w:pPr>
            <w:r w:rsidRPr="00252381">
              <w:t>$150</w:t>
            </w:r>
          </w:p>
        </w:tc>
      </w:tr>
      <w:tr w:rsidR="00DB5753" w14:paraId="39AB5724" w14:textId="77777777" w:rsidTr="003946EA">
        <w:trPr>
          <w:trHeight w:val="575"/>
        </w:trPr>
        <w:tc>
          <w:tcPr>
            <w:tcW w:w="3192" w:type="dxa"/>
            <w:vAlign w:val="center"/>
          </w:tcPr>
          <w:p w14:paraId="07A64FF8" w14:textId="77777777" w:rsidR="00DB5753" w:rsidRPr="001D03DB" w:rsidRDefault="00DB5753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Hydrant Charge</w:t>
            </w:r>
          </w:p>
        </w:tc>
        <w:tc>
          <w:tcPr>
            <w:tcW w:w="3192" w:type="dxa"/>
            <w:vAlign w:val="center"/>
          </w:tcPr>
          <w:p w14:paraId="12569D29" w14:textId="77777777" w:rsidR="00DB5753" w:rsidRPr="00252381" w:rsidRDefault="00DB5753" w:rsidP="003946EA">
            <w:pPr>
              <w:jc w:val="center"/>
            </w:pPr>
            <w:r w:rsidRPr="00252381">
              <w:t>$200</w:t>
            </w:r>
          </w:p>
        </w:tc>
        <w:tc>
          <w:tcPr>
            <w:tcW w:w="3192" w:type="dxa"/>
            <w:vAlign w:val="center"/>
          </w:tcPr>
          <w:p w14:paraId="1FD7ECFD" w14:textId="77777777" w:rsidR="00DB5753" w:rsidRPr="00252381" w:rsidRDefault="00DB5753" w:rsidP="003946EA">
            <w:pPr>
              <w:jc w:val="center"/>
            </w:pPr>
            <w:r w:rsidRPr="00252381">
              <w:t>$400</w:t>
            </w:r>
          </w:p>
        </w:tc>
      </w:tr>
      <w:tr w:rsidR="00DB5753" w14:paraId="0538C054" w14:textId="77777777" w:rsidTr="003946EA">
        <w:trPr>
          <w:trHeight w:val="530"/>
        </w:trPr>
        <w:tc>
          <w:tcPr>
            <w:tcW w:w="3192" w:type="dxa"/>
            <w:vAlign w:val="center"/>
          </w:tcPr>
          <w:p w14:paraId="7D3AC083" w14:textId="77777777" w:rsidR="00DB5753" w:rsidRPr="001D03DB" w:rsidRDefault="00DB5753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Hydrant Charge Newbury</w:t>
            </w:r>
          </w:p>
        </w:tc>
        <w:tc>
          <w:tcPr>
            <w:tcW w:w="3192" w:type="dxa"/>
            <w:vAlign w:val="center"/>
          </w:tcPr>
          <w:p w14:paraId="51F869E2" w14:textId="77777777" w:rsidR="00DB5753" w:rsidRPr="00252381" w:rsidRDefault="00BC68FB" w:rsidP="003946EA">
            <w:pPr>
              <w:jc w:val="center"/>
            </w:pPr>
            <w:r w:rsidRPr="00252381">
              <w:t>$65</w:t>
            </w:r>
          </w:p>
        </w:tc>
        <w:tc>
          <w:tcPr>
            <w:tcW w:w="3192" w:type="dxa"/>
            <w:vAlign w:val="center"/>
          </w:tcPr>
          <w:p w14:paraId="4202EC87" w14:textId="77777777" w:rsidR="00DB5753" w:rsidRPr="00252381" w:rsidRDefault="00BC68FB" w:rsidP="003946EA">
            <w:pPr>
              <w:jc w:val="center"/>
            </w:pPr>
            <w:r w:rsidRPr="00252381">
              <w:t>$75</w:t>
            </w:r>
          </w:p>
        </w:tc>
      </w:tr>
      <w:tr w:rsidR="00DB5753" w14:paraId="4427D8BC" w14:textId="77777777" w:rsidTr="003946EA">
        <w:trPr>
          <w:trHeight w:val="440"/>
        </w:trPr>
        <w:tc>
          <w:tcPr>
            <w:tcW w:w="3192" w:type="dxa"/>
            <w:vAlign w:val="center"/>
          </w:tcPr>
          <w:p w14:paraId="6D36FC5A" w14:textId="77777777" w:rsidR="00DB5753" w:rsidRPr="001D03DB" w:rsidRDefault="00DB5753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Inspection</w:t>
            </w:r>
          </w:p>
        </w:tc>
        <w:tc>
          <w:tcPr>
            <w:tcW w:w="3192" w:type="dxa"/>
            <w:vAlign w:val="center"/>
          </w:tcPr>
          <w:p w14:paraId="717BFE7B" w14:textId="77777777" w:rsidR="00DB5753" w:rsidRPr="00252381" w:rsidRDefault="00DB5753" w:rsidP="003946EA">
            <w:pPr>
              <w:jc w:val="center"/>
            </w:pPr>
            <w:r w:rsidRPr="00252381">
              <w:t>$50</w:t>
            </w:r>
          </w:p>
        </w:tc>
        <w:tc>
          <w:tcPr>
            <w:tcW w:w="3192" w:type="dxa"/>
            <w:vAlign w:val="center"/>
          </w:tcPr>
          <w:p w14:paraId="3CDEA334" w14:textId="77777777" w:rsidR="00DB5753" w:rsidRPr="00252381" w:rsidRDefault="00DB5753" w:rsidP="003946EA">
            <w:pPr>
              <w:jc w:val="center"/>
            </w:pPr>
            <w:r w:rsidRPr="00252381">
              <w:t>$60</w:t>
            </w:r>
          </w:p>
        </w:tc>
      </w:tr>
    </w:tbl>
    <w:p w14:paraId="0E17A73B" w14:textId="77777777" w:rsidR="003946EA" w:rsidRDefault="003946EA"/>
    <w:p w14:paraId="11A6F382" w14:textId="77777777" w:rsidR="00801B20" w:rsidRDefault="00801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20"/>
        <w:gridCol w:w="3119"/>
      </w:tblGrid>
      <w:tr w:rsidR="001D03DB" w14:paraId="3FBF40DE" w14:textId="77777777" w:rsidTr="003946EA"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22DD9613" w14:textId="16CA1887" w:rsidR="001D03DB" w:rsidRPr="00252381" w:rsidRDefault="001D03DB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lastRenderedPageBreak/>
              <w:t>Tap Fees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9D31625" w14:textId="77777777" w:rsidR="001D03DB" w:rsidRPr="00252381" w:rsidRDefault="001D03DB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Approved June 1, 2013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205489C" w14:textId="77777777" w:rsidR="001D03DB" w:rsidRPr="00252381" w:rsidRDefault="001D03DB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Proposed</w:t>
            </w:r>
          </w:p>
        </w:tc>
      </w:tr>
      <w:tr w:rsidR="001D03DB" w14:paraId="65FCB3F7" w14:textId="77777777" w:rsidTr="003946EA">
        <w:trPr>
          <w:trHeight w:val="332"/>
        </w:trPr>
        <w:tc>
          <w:tcPr>
            <w:tcW w:w="3111" w:type="dxa"/>
            <w:vAlign w:val="center"/>
          </w:tcPr>
          <w:p w14:paraId="27286755" w14:textId="77777777" w:rsidR="001D03DB" w:rsidRPr="001D03DB" w:rsidRDefault="001D03DB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Tap 1 - 2 inch</w:t>
            </w:r>
          </w:p>
        </w:tc>
        <w:tc>
          <w:tcPr>
            <w:tcW w:w="3120" w:type="dxa"/>
            <w:vAlign w:val="center"/>
          </w:tcPr>
          <w:p w14:paraId="5410E3D2" w14:textId="77777777" w:rsidR="001D03DB" w:rsidRPr="00252381" w:rsidRDefault="001D03DB" w:rsidP="003946EA">
            <w:pPr>
              <w:jc w:val="center"/>
            </w:pPr>
            <w:r w:rsidRPr="00252381">
              <w:t>$300</w:t>
            </w:r>
          </w:p>
        </w:tc>
        <w:tc>
          <w:tcPr>
            <w:tcW w:w="3119" w:type="dxa"/>
            <w:vAlign w:val="center"/>
          </w:tcPr>
          <w:p w14:paraId="2700D51E" w14:textId="77777777" w:rsidR="001D03DB" w:rsidRPr="00252381" w:rsidRDefault="001D03DB" w:rsidP="003946EA">
            <w:pPr>
              <w:jc w:val="center"/>
            </w:pPr>
            <w:r w:rsidRPr="00252381">
              <w:t>$400</w:t>
            </w:r>
          </w:p>
        </w:tc>
      </w:tr>
      <w:tr w:rsidR="001D03DB" w14:paraId="62223596" w14:textId="77777777" w:rsidTr="003946EA">
        <w:trPr>
          <w:trHeight w:val="332"/>
        </w:trPr>
        <w:tc>
          <w:tcPr>
            <w:tcW w:w="3111" w:type="dxa"/>
            <w:vAlign w:val="center"/>
          </w:tcPr>
          <w:p w14:paraId="2A91034B" w14:textId="77777777" w:rsidR="001D03DB" w:rsidRPr="001D03DB" w:rsidRDefault="001D03DB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Tap  4 – 6 inch</w:t>
            </w:r>
          </w:p>
        </w:tc>
        <w:tc>
          <w:tcPr>
            <w:tcW w:w="3120" w:type="dxa"/>
            <w:vAlign w:val="center"/>
          </w:tcPr>
          <w:p w14:paraId="183811B1" w14:textId="77777777" w:rsidR="001D03DB" w:rsidRPr="00252381" w:rsidRDefault="001D03DB" w:rsidP="003946EA">
            <w:pPr>
              <w:jc w:val="center"/>
            </w:pPr>
            <w:r w:rsidRPr="00252381">
              <w:t>$550</w:t>
            </w:r>
          </w:p>
        </w:tc>
        <w:tc>
          <w:tcPr>
            <w:tcW w:w="3119" w:type="dxa"/>
            <w:vAlign w:val="center"/>
          </w:tcPr>
          <w:p w14:paraId="3A0B64AE" w14:textId="77777777" w:rsidR="001D03DB" w:rsidRPr="00252381" w:rsidRDefault="001D03DB" w:rsidP="003946EA">
            <w:pPr>
              <w:jc w:val="center"/>
            </w:pPr>
            <w:r w:rsidRPr="00252381">
              <w:t>$650</w:t>
            </w:r>
          </w:p>
        </w:tc>
      </w:tr>
      <w:tr w:rsidR="001D03DB" w14:paraId="7076EDDA" w14:textId="77777777" w:rsidTr="003946EA">
        <w:trPr>
          <w:trHeight w:val="332"/>
        </w:trPr>
        <w:tc>
          <w:tcPr>
            <w:tcW w:w="3111" w:type="dxa"/>
            <w:vAlign w:val="center"/>
          </w:tcPr>
          <w:p w14:paraId="556E952E" w14:textId="77777777" w:rsidR="001D03DB" w:rsidRPr="001D03DB" w:rsidRDefault="001D03DB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Tap 8 inch</w:t>
            </w:r>
          </w:p>
        </w:tc>
        <w:tc>
          <w:tcPr>
            <w:tcW w:w="3120" w:type="dxa"/>
            <w:vAlign w:val="center"/>
          </w:tcPr>
          <w:p w14:paraId="0E5DEFD0" w14:textId="77777777" w:rsidR="001D03DB" w:rsidRPr="00252381" w:rsidRDefault="001D03DB" w:rsidP="003946EA">
            <w:pPr>
              <w:jc w:val="center"/>
            </w:pPr>
            <w:r w:rsidRPr="00252381">
              <w:t>$750</w:t>
            </w:r>
          </w:p>
        </w:tc>
        <w:tc>
          <w:tcPr>
            <w:tcW w:w="3119" w:type="dxa"/>
            <w:vAlign w:val="center"/>
          </w:tcPr>
          <w:p w14:paraId="44C5B9D5" w14:textId="77777777" w:rsidR="001D03DB" w:rsidRPr="00252381" w:rsidRDefault="001D03DB" w:rsidP="003946EA">
            <w:pPr>
              <w:jc w:val="center"/>
            </w:pPr>
            <w:r w:rsidRPr="00252381">
              <w:t>$800</w:t>
            </w:r>
          </w:p>
        </w:tc>
      </w:tr>
      <w:tr w:rsidR="001D03DB" w14:paraId="1BBEB86D" w14:textId="77777777" w:rsidTr="003946EA">
        <w:trPr>
          <w:trHeight w:val="332"/>
        </w:trPr>
        <w:tc>
          <w:tcPr>
            <w:tcW w:w="3111" w:type="dxa"/>
            <w:vAlign w:val="center"/>
          </w:tcPr>
          <w:p w14:paraId="1D8FBD5B" w14:textId="77777777" w:rsidR="001D03DB" w:rsidRPr="001D03DB" w:rsidRDefault="001D03DB" w:rsidP="003946EA">
            <w:pPr>
              <w:jc w:val="center"/>
              <w:rPr>
                <w:b/>
              </w:rPr>
            </w:pPr>
            <w:r w:rsidRPr="001D03DB">
              <w:rPr>
                <w:b/>
              </w:rPr>
              <w:t>8 Inch or greater</w:t>
            </w:r>
          </w:p>
        </w:tc>
        <w:tc>
          <w:tcPr>
            <w:tcW w:w="3120" w:type="dxa"/>
            <w:vAlign w:val="center"/>
          </w:tcPr>
          <w:p w14:paraId="2E601AF6" w14:textId="2D929523" w:rsidR="001D03DB" w:rsidRPr="00252381" w:rsidRDefault="001D03DB" w:rsidP="003946EA">
            <w:pPr>
              <w:jc w:val="center"/>
            </w:pPr>
            <w:r w:rsidRPr="00252381">
              <w:t>$1</w:t>
            </w:r>
            <w:r w:rsidR="00605841">
              <w:t>,</w:t>
            </w:r>
            <w:r w:rsidRPr="00252381">
              <w:t>000</w:t>
            </w:r>
          </w:p>
        </w:tc>
        <w:tc>
          <w:tcPr>
            <w:tcW w:w="3119" w:type="dxa"/>
            <w:vAlign w:val="center"/>
          </w:tcPr>
          <w:p w14:paraId="37F70D1C" w14:textId="6A969302" w:rsidR="001D03DB" w:rsidRPr="00252381" w:rsidRDefault="001D03DB" w:rsidP="003946EA">
            <w:pPr>
              <w:jc w:val="center"/>
            </w:pPr>
            <w:r w:rsidRPr="00252381">
              <w:t>$1</w:t>
            </w:r>
            <w:r w:rsidR="00605841">
              <w:t>,</w:t>
            </w:r>
            <w:r w:rsidRPr="00252381">
              <w:t>200</w:t>
            </w:r>
          </w:p>
        </w:tc>
      </w:tr>
    </w:tbl>
    <w:p w14:paraId="7EB5EB7C" w14:textId="3C772F3E" w:rsidR="00DB5753" w:rsidRDefault="00DB5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03DB" w14:paraId="3BDB0E64" w14:textId="77777777" w:rsidTr="003946EA">
        <w:trPr>
          <w:trHeight w:val="530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2417F59A" w14:textId="2BC74634" w:rsidR="001D03DB" w:rsidRPr="0048762C" w:rsidRDefault="001D03DB" w:rsidP="003946EA">
            <w:pPr>
              <w:jc w:val="center"/>
              <w:rPr>
                <w:b/>
              </w:rPr>
            </w:pPr>
            <w:r w:rsidRPr="0048762C">
              <w:rPr>
                <w:b/>
              </w:rPr>
              <w:t>Connection Fees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4635CAAB" w14:textId="77777777" w:rsidR="001D03DB" w:rsidRPr="00A13271" w:rsidRDefault="0048762C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t>Approved June 1,2013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18ACE507" w14:textId="77777777" w:rsidR="001D03DB" w:rsidRPr="00A13271" w:rsidRDefault="0048762C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t>Proposed</w:t>
            </w:r>
          </w:p>
        </w:tc>
      </w:tr>
      <w:tr w:rsidR="001D03DB" w14:paraId="5675DF6D" w14:textId="77777777" w:rsidTr="003946EA">
        <w:trPr>
          <w:trHeight w:val="512"/>
        </w:trPr>
        <w:tc>
          <w:tcPr>
            <w:tcW w:w="3192" w:type="dxa"/>
            <w:vAlign w:val="center"/>
          </w:tcPr>
          <w:p w14:paraId="5DC3EBCA" w14:textId="16DCFDE7" w:rsidR="001D03DB" w:rsidRPr="00252381" w:rsidRDefault="001D03DB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1 Inch</w:t>
            </w:r>
          </w:p>
        </w:tc>
        <w:tc>
          <w:tcPr>
            <w:tcW w:w="3192" w:type="dxa"/>
            <w:vAlign w:val="center"/>
          </w:tcPr>
          <w:p w14:paraId="40399FF1" w14:textId="7B33C35E" w:rsidR="001D03DB" w:rsidRDefault="001D03DB" w:rsidP="003946EA">
            <w:pPr>
              <w:jc w:val="center"/>
            </w:pPr>
            <w:r>
              <w:t>$1</w:t>
            </w:r>
            <w:r w:rsidR="00605841">
              <w:t>,</w:t>
            </w:r>
            <w:r>
              <w:t>400</w:t>
            </w:r>
          </w:p>
        </w:tc>
        <w:tc>
          <w:tcPr>
            <w:tcW w:w="3192" w:type="dxa"/>
            <w:vAlign w:val="center"/>
          </w:tcPr>
          <w:p w14:paraId="7DB9A82E" w14:textId="0BDAF931" w:rsidR="001D03DB" w:rsidRDefault="001D03DB" w:rsidP="003946EA">
            <w:pPr>
              <w:jc w:val="center"/>
            </w:pPr>
            <w:r>
              <w:t>$2</w:t>
            </w:r>
            <w:r w:rsidR="00605841">
              <w:t>,</w:t>
            </w:r>
            <w:r>
              <w:t>500</w:t>
            </w:r>
          </w:p>
        </w:tc>
      </w:tr>
      <w:tr w:rsidR="001D03DB" w14:paraId="0561D887" w14:textId="77777777" w:rsidTr="003946EA">
        <w:trPr>
          <w:trHeight w:val="458"/>
        </w:trPr>
        <w:tc>
          <w:tcPr>
            <w:tcW w:w="3192" w:type="dxa"/>
            <w:vAlign w:val="center"/>
          </w:tcPr>
          <w:p w14:paraId="0309360A" w14:textId="77777777" w:rsidR="001D03DB" w:rsidRPr="00252381" w:rsidRDefault="001D03DB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2 Inch</w:t>
            </w:r>
          </w:p>
        </w:tc>
        <w:tc>
          <w:tcPr>
            <w:tcW w:w="3192" w:type="dxa"/>
            <w:vAlign w:val="center"/>
          </w:tcPr>
          <w:p w14:paraId="136ABE28" w14:textId="221E3068" w:rsidR="001D03DB" w:rsidRDefault="001D03DB" w:rsidP="003946EA">
            <w:pPr>
              <w:jc w:val="center"/>
            </w:pPr>
            <w:r>
              <w:t>$4</w:t>
            </w:r>
            <w:r w:rsidR="00605841">
              <w:t>,</w:t>
            </w:r>
            <w:r>
              <w:t>270</w:t>
            </w:r>
          </w:p>
        </w:tc>
        <w:tc>
          <w:tcPr>
            <w:tcW w:w="3192" w:type="dxa"/>
            <w:vAlign w:val="center"/>
          </w:tcPr>
          <w:p w14:paraId="010DB192" w14:textId="77777777" w:rsidR="001D03DB" w:rsidRDefault="002727BE" w:rsidP="003946EA">
            <w:pPr>
              <w:jc w:val="center"/>
            </w:pPr>
            <w:r>
              <w:t>No Change</w:t>
            </w:r>
          </w:p>
        </w:tc>
      </w:tr>
      <w:tr w:rsidR="001D03DB" w14:paraId="3668D8DE" w14:textId="77777777" w:rsidTr="003946EA">
        <w:trPr>
          <w:trHeight w:val="602"/>
        </w:trPr>
        <w:tc>
          <w:tcPr>
            <w:tcW w:w="3192" w:type="dxa"/>
            <w:vAlign w:val="center"/>
          </w:tcPr>
          <w:p w14:paraId="15BC6626" w14:textId="3705458F" w:rsidR="001D03DB" w:rsidRPr="00252381" w:rsidRDefault="001D03DB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4 Inch</w:t>
            </w:r>
          </w:p>
        </w:tc>
        <w:tc>
          <w:tcPr>
            <w:tcW w:w="3192" w:type="dxa"/>
            <w:vAlign w:val="center"/>
          </w:tcPr>
          <w:p w14:paraId="77A77A21" w14:textId="03DBCB98" w:rsidR="001D03DB" w:rsidRDefault="001D03DB" w:rsidP="003946EA">
            <w:pPr>
              <w:jc w:val="center"/>
            </w:pPr>
            <w:r>
              <w:t>$7</w:t>
            </w:r>
            <w:r w:rsidR="00605841">
              <w:t>,</w:t>
            </w:r>
            <w:r>
              <w:t>140</w:t>
            </w:r>
          </w:p>
        </w:tc>
        <w:tc>
          <w:tcPr>
            <w:tcW w:w="3192" w:type="dxa"/>
            <w:vAlign w:val="center"/>
          </w:tcPr>
          <w:p w14:paraId="6F053901" w14:textId="77777777" w:rsidR="001D03DB" w:rsidRDefault="002727BE" w:rsidP="003946EA">
            <w:pPr>
              <w:jc w:val="center"/>
            </w:pPr>
            <w:r>
              <w:t>No Change</w:t>
            </w:r>
          </w:p>
        </w:tc>
      </w:tr>
      <w:tr w:rsidR="001D03DB" w14:paraId="239AADBD" w14:textId="77777777" w:rsidTr="003946EA">
        <w:trPr>
          <w:trHeight w:val="548"/>
        </w:trPr>
        <w:tc>
          <w:tcPr>
            <w:tcW w:w="3192" w:type="dxa"/>
            <w:vAlign w:val="center"/>
          </w:tcPr>
          <w:p w14:paraId="6F54A013" w14:textId="604A5318" w:rsidR="001D03DB" w:rsidRPr="00252381" w:rsidRDefault="001D03DB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6 Inch</w:t>
            </w:r>
          </w:p>
        </w:tc>
        <w:tc>
          <w:tcPr>
            <w:tcW w:w="3192" w:type="dxa"/>
            <w:vAlign w:val="center"/>
          </w:tcPr>
          <w:p w14:paraId="1C8DFA88" w14:textId="77777777" w:rsidR="001D03DB" w:rsidRDefault="001D03DB" w:rsidP="003946EA">
            <w:pPr>
              <w:jc w:val="center"/>
            </w:pPr>
            <w:r>
              <w:t>$10,000</w:t>
            </w:r>
          </w:p>
        </w:tc>
        <w:tc>
          <w:tcPr>
            <w:tcW w:w="3192" w:type="dxa"/>
            <w:vAlign w:val="center"/>
          </w:tcPr>
          <w:p w14:paraId="0DD0F02D" w14:textId="77777777" w:rsidR="001D03DB" w:rsidRDefault="002727BE" w:rsidP="003946EA">
            <w:pPr>
              <w:jc w:val="center"/>
            </w:pPr>
            <w:r>
              <w:t>No Change</w:t>
            </w:r>
          </w:p>
        </w:tc>
      </w:tr>
    </w:tbl>
    <w:p w14:paraId="0007F8C4" w14:textId="77777777" w:rsidR="00DB5753" w:rsidRDefault="00DB5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03DB" w14:paraId="6C536FEE" w14:textId="77777777" w:rsidTr="003946EA">
        <w:trPr>
          <w:trHeight w:val="458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4CDF2728" w14:textId="77777777" w:rsidR="001D03DB" w:rsidRPr="0048762C" w:rsidRDefault="001D03DB" w:rsidP="003946EA">
            <w:pPr>
              <w:jc w:val="center"/>
              <w:rPr>
                <w:b/>
              </w:rPr>
            </w:pPr>
            <w:r w:rsidRPr="0048762C">
              <w:rPr>
                <w:b/>
              </w:rPr>
              <w:t>Water Main Connections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27EE0CF7" w14:textId="77777777" w:rsidR="001D03DB" w:rsidRPr="00A13271" w:rsidRDefault="0048762C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t>Approved June 1,2013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72742244" w14:textId="77777777" w:rsidR="001D03DB" w:rsidRPr="00A13271" w:rsidRDefault="0048762C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t>Proposed</w:t>
            </w:r>
          </w:p>
        </w:tc>
      </w:tr>
      <w:tr w:rsidR="001D03DB" w14:paraId="5DCFEB5C" w14:textId="77777777" w:rsidTr="003946EA">
        <w:trPr>
          <w:trHeight w:val="530"/>
        </w:trPr>
        <w:tc>
          <w:tcPr>
            <w:tcW w:w="3192" w:type="dxa"/>
            <w:vAlign w:val="center"/>
          </w:tcPr>
          <w:p w14:paraId="57F9E696" w14:textId="1E6298E3" w:rsidR="001D03DB" w:rsidRPr="00252381" w:rsidRDefault="001D03DB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8 Inch</w:t>
            </w:r>
          </w:p>
        </w:tc>
        <w:tc>
          <w:tcPr>
            <w:tcW w:w="3192" w:type="dxa"/>
            <w:vAlign w:val="center"/>
          </w:tcPr>
          <w:p w14:paraId="290FDC57" w14:textId="77777777" w:rsidR="001D03DB" w:rsidRDefault="001D03DB" w:rsidP="003946EA">
            <w:pPr>
              <w:jc w:val="center"/>
            </w:pPr>
            <w:r>
              <w:t>$13,000</w:t>
            </w:r>
          </w:p>
        </w:tc>
        <w:tc>
          <w:tcPr>
            <w:tcW w:w="3192" w:type="dxa"/>
            <w:vAlign w:val="center"/>
          </w:tcPr>
          <w:p w14:paraId="6084B2E5" w14:textId="77777777" w:rsidR="001D03DB" w:rsidRDefault="002727BE" w:rsidP="003946EA">
            <w:pPr>
              <w:jc w:val="center"/>
            </w:pPr>
            <w:r>
              <w:t>No Change</w:t>
            </w:r>
          </w:p>
        </w:tc>
      </w:tr>
      <w:tr w:rsidR="001D03DB" w14:paraId="71F22630" w14:textId="77777777" w:rsidTr="003946EA">
        <w:trPr>
          <w:trHeight w:val="530"/>
        </w:trPr>
        <w:tc>
          <w:tcPr>
            <w:tcW w:w="3192" w:type="dxa"/>
            <w:vAlign w:val="center"/>
          </w:tcPr>
          <w:p w14:paraId="0C84FF0B" w14:textId="77777777" w:rsidR="001D03DB" w:rsidRPr="00252381" w:rsidRDefault="001D03DB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12 Inch</w:t>
            </w:r>
          </w:p>
        </w:tc>
        <w:tc>
          <w:tcPr>
            <w:tcW w:w="3192" w:type="dxa"/>
            <w:vAlign w:val="center"/>
          </w:tcPr>
          <w:p w14:paraId="6538FB92" w14:textId="77777777" w:rsidR="001D03DB" w:rsidRDefault="001D03DB" w:rsidP="003946EA">
            <w:pPr>
              <w:jc w:val="center"/>
            </w:pPr>
            <w:r>
              <w:t>$16,000</w:t>
            </w:r>
          </w:p>
        </w:tc>
        <w:tc>
          <w:tcPr>
            <w:tcW w:w="3192" w:type="dxa"/>
            <w:vAlign w:val="center"/>
          </w:tcPr>
          <w:p w14:paraId="5618012E" w14:textId="77777777" w:rsidR="001D03DB" w:rsidRDefault="002727BE" w:rsidP="003946EA">
            <w:pPr>
              <w:jc w:val="center"/>
            </w:pPr>
            <w:r>
              <w:t>No Change</w:t>
            </w:r>
          </w:p>
        </w:tc>
      </w:tr>
      <w:tr w:rsidR="001D03DB" w14:paraId="2D6CDE15" w14:textId="77777777" w:rsidTr="003946EA">
        <w:trPr>
          <w:trHeight w:val="440"/>
        </w:trPr>
        <w:tc>
          <w:tcPr>
            <w:tcW w:w="3192" w:type="dxa"/>
            <w:vAlign w:val="center"/>
          </w:tcPr>
          <w:p w14:paraId="71AFEF87" w14:textId="478FF5C9" w:rsidR="001D03DB" w:rsidRPr="00252381" w:rsidRDefault="0048762C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16 Inch</w:t>
            </w:r>
          </w:p>
        </w:tc>
        <w:tc>
          <w:tcPr>
            <w:tcW w:w="3192" w:type="dxa"/>
            <w:vAlign w:val="center"/>
          </w:tcPr>
          <w:p w14:paraId="0585040F" w14:textId="77777777" w:rsidR="001D03DB" w:rsidRDefault="0048762C" w:rsidP="003946EA">
            <w:pPr>
              <w:jc w:val="center"/>
            </w:pPr>
            <w:r>
              <w:t>$20,000</w:t>
            </w:r>
          </w:p>
        </w:tc>
        <w:tc>
          <w:tcPr>
            <w:tcW w:w="3192" w:type="dxa"/>
            <w:vAlign w:val="center"/>
          </w:tcPr>
          <w:p w14:paraId="5AF96A38" w14:textId="77777777" w:rsidR="001D03DB" w:rsidRDefault="002727BE" w:rsidP="003946EA">
            <w:pPr>
              <w:jc w:val="center"/>
            </w:pPr>
            <w:r>
              <w:t>No Change</w:t>
            </w:r>
          </w:p>
        </w:tc>
      </w:tr>
    </w:tbl>
    <w:p w14:paraId="44908925" w14:textId="77777777" w:rsidR="001D03DB" w:rsidRDefault="001D03DB"/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3271" w14:paraId="2E838C22" w14:textId="77777777" w:rsidTr="003946EA">
        <w:trPr>
          <w:trHeight w:val="437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77EA2F26" w14:textId="78D4F822" w:rsidR="00A13271" w:rsidRPr="00A13271" w:rsidRDefault="00A13271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t>Meter Charge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6E1FB56B" w14:textId="77777777" w:rsidR="00A13271" w:rsidRPr="00A13271" w:rsidRDefault="00A13271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t>Approved June 1,2013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517FCA5F" w14:textId="1FE0F5BB" w:rsidR="00A13271" w:rsidRPr="00A13271" w:rsidRDefault="00A13271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t>Proposed</w:t>
            </w:r>
          </w:p>
        </w:tc>
      </w:tr>
      <w:tr w:rsidR="00A13271" w14:paraId="7D33DF96" w14:textId="77777777" w:rsidTr="003946EA">
        <w:trPr>
          <w:trHeight w:val="422"/>
        </w:trPr>
        <w:tc>
          <w:tcPr>
            <w:tcW w:w="3192" w:type="dxa"/>
            <w:vAlign w:val="center"/>
          </w:tcPr>
          <w:p w14:paraId="07A3C43B" w14:textId="1D402192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5/8 Inch</w:t>
            </w:r>
          </w:p>
        </w:tc>
        <w:tc>
          <w:tcPr>
            <w:tcW w:w="3192" w:type="dxa"/>
            <w:vAlign w:val="center"/>
          </w:tcPr>
          <w:p w14:paraId="30ABB0AD" w14:textId="77777777" w:rsidR="00A13271" w:rsidRDefault="00A13271" w:rsidP="003946EA">
            <w:pPr>
              <w:jc w:val="center"/>
            </w:pPr>
            <w:r>
              <w:t>$270</w:t>
            </w:r>
          </w:p>
        </w:tc>
        <w:tc>
          <w:tcPr>
            <w:tcW w:w="3192" w:type="dxa"/>
            <w:vAlign w:val="center"/>
          </w:tcPr>
          <w:p w14:paraId="45A59AE3" w14:textId="0BE9B567" w:rsidR="00A13271" w:rsidRDefault="00A13271" w:rsidP="003946EA">
            <w:pPr>
              <w:jc w:val="center"/>
            </w:pPr>
            <w:r>
              <w:t>Market Cost (Variable)</w:t>
            </w:r>
            <w:r w:rsidR="003946EA">
              <w:t>*</w:t>
            </w:r>
          </w:p>
        </w:tc>
      </w:tr>
      <w:tr w:rsidR="00A13271" w14:paraId="55E9336F" w14:textId="77777777" w:rsidTr="003946EA">
        <w:trPr>
          <w:trHeight w:val="350"/>
        </w:trPr>
        <w:tc>
          <w:tcPr>
            <w:tcW w:w="3192" w:type="dxa"/>
            <w:vAlign w:val="center"/>
          </w:tcPr>
          <w:p w14:paraId="4A1577A0" w14:textId="4054A333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1 Inch</w:t>
            </w:r>
          </w:p>
        </w:tc>
        <w:tc>
          <w:tcPr>
            <w:tcW w:w="3192" w:type="dxa"/>
            <w:vAlign w:val="center"/>
          </w:tcPr>
          <w:p w14:paraId="349B11F6" w14:textId="77777777" w:rsidR="00A13271" w:rsidRDefault="00A13271" w:rsidP="003946EA">
            <w:pPr>
              <w:jc w:val="center"/>
            </w:pPr>
            <w:r>
              <w:t>$400</w:t>
            </w:r>
          </w:p>
        </w:tc>
        <w:tc>
          <w:tcPr>
            <w:tcW w:w="3192" w:type="dxa"/>
            <w:vAlign w:val="center"/>
          </w:tcPr>
          <w:p w14:paraId="3C0CE63B" w14:textId="2C7126C9" w:rsidR="00A13271" w:rsidRDefault="00A13271" w:rsidP="003946EA">
            <w:pPr>
              <w:jc w:val="center"/>
            </w:pPr>
            <w:r>
              <w:t>Market Cost (Variable)</w:t>
            </w:r>
            <w:r w:rsidR="003946EA">
              <w:t>*</w:t>
            </w:r>
          </w:p>
        </w:tc>
      </w:tr>
      <w:tr w:rsidR="00A13271" w14:paraId="20B4146B" w14:textId="77777777" w:rsidTr="003946EA">
        <w:trPr>
          <w:trHeight w:val="440"/>
        </w:trPr>
        <w:tc>
          <w:tcPr>
            <w:tcW w:w="3192" w:type="dxa"/>
            <w:vAlign w:val="center"/>
          </w:tcPr>
          <w:p w14:paraId="6E670688" w14:textId="0A05A81C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Greater than 1 inch</w:t>
            </w:r>
          </w:p>
        </w:tc>
        <w:tc>
          <w:tcPr>
            <w:tcW w:w="3192" w:type="dxa"/>
            <w:vAlign w:val="center"/>
          </w:tcPr>
          <w:p w14:paraId="01728E1D" w14:textId="143FBB16" w:rsidR="00A13271" w:rsidRDefault="00A13271" w:rsidP="003946EA">
            <w:pPr>
              <w:jc w:val="center"/>
            </w:pPr>
            <w:r>
              <w:t>Cost</w:t>
            </w:r>
          </w:p>
        </w:tc>
        <w:tc>
          <w:tcPr>
            <w:tcW w:w="3192" w:type="dxa"/>
            <w:vAlign w:val="center"/>
          </w:tcPr>
          <w:p w14:paraId="22C2A802" w14:textId="49CBD9D9" w:rsidR="00A13271" w:rsidRDefault="00A13271" w:rsidP="003946EA">
            <w:pPr>
              <w:jc w:val="center"/>
            </w:pPr>
            <w:r>
              <w:t>Market Cost (Variable)</w:t>
            </w:r>
            <w:r w:rsidR="003946EA">
              <w:t>*</w:t>
            </w:r>
          </w:p>
        </w:tc>
      </w:tr>
      <w:tr w:rsidR="00A13271" w14:paraId="35C5B57D" w14:textId="77777777" w:rsidTr="003946EA">
        <w:trPr>
          <w:trHeight w:val="440"/>
        </w:trPr>
        <w:tc>
          <w:tcPr>
            <w:tcW w:w="3192" w:type="dxa"/>
            <w:vAlign w:val="center"/>
          </w:tcPr>
          <w:p w14:paraId="37801AFC" w14:textId="77777777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Meter horns fittings</w:t>
            </w:r>
          </w:p>
        </w:tc>
        <w:tc>
          <w:tcPr>
            <w:tcW w:w="3192" w:type="dxa"/>
            <w:vAlign w:val="center"/>
          </w:tcPr>
          <w:p w14:paraId="48980A07" w14:textId="77777777" w:rsidR="00A13271" w:rsidRDefault="00A13271" w:rsidP="003946EA">
            <w:pPr>
              <w:jc w:val="center"/>
            </w:pPr>
            <w:r>
              <w:t>No Charge</w:t>
            </w:r>
          </w:p>
        </w:tc>
        <w:tc>
          <w:tcPr>
            <w:tcW w:w="3192" w:type="dxa"/>
            <w:vAlign w:val="center"/>
          </w:tcPr>
          <w:p w14:paraId="0BC593D9" w14:textId="7D12802B" w:rsidR="00A13271" w:rsidRDefault="00A13271" w:rsidP="003946EA">
            <w:pPr>
              <w:jc w:val="center"/>
            </w:pPr>
            <w:r>
              <w:t>Market Cost (Variable)</w:t>
            </w:r>
            <w:r w:rsidR="003946EA">
              <w:t>*</w:t>
            </w:r>
          </w:p>
        </w:tc>
      </w:tr>
      <w:tr w:rsidR="00A13271" w14:paraId="2D200C4A" w14:textId="77777777" w:rsidTr="003946EA">
        <w:trPr>
          <w:trHeight w:val="455"/>
        </w:trPr>
        <w:tc>
          <w:tcPr>
            <w:tcW w:w="3192" w:type="dxa"/>
            <w:vAlign w:val="center"/>
          </w:tcPr>
          <w:p w14:paraId="7CD04516" w14:textId="160EDFB7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Meter Test</w:t>
            </w:r>
          </w:p>
        </w:tc>
        <w:tc>
          <w:tcPr>
            <w:tcW w:w="3192" w:type="dxa"/>
            <w:vAlign w:val="center"/>
          </w:tcPr>
          <w:p w14:paraId="5CF76489" w14:textId="6BF8FEA6" w:rsidR="00A13271" w:rsidRDefault="00252381" w:rsidP="003946EA">
            <w:pPr>
              <w:jc w:val="center"/>
            </w:pPr>
            <w:r>
              <w:t>$100</w:t>
            </w:r>
          </w:p>
        </w:tc>
        <w:tc>
          <w:tcPr>
            <w:tcW w:w="3192" w:type="dxa"/>
            <w:vAlign w:val="center"/>
          </w:tcPr>
          <w:p w14:paraId="19D8CC3D" w14:textId="4A4E2755" w:rsidR="00A13271" w:rsidRDefault="00A13271" w:rsidP="003946EA">
            <w:pPr>
              <w:jc w:val="center"/>
            </w:pPr>
            <w:r>
              <w:t>$150</w:t>
            </w:r>
          </w:p>
        </w:tc>
      </w:tr>
      <w:tr w:rsidR="00A13271" w14:paraId="6505942B" w14:textId="77777777" w:rsidTr="003946EA">
        <w:trPr>
          <w:trHeight w:val="437"/>
        </w:trPr>
        <w:tc>
          <w:tcPr>
            <w:tcW w:w="3192" w:type="dxa"/>
            <w:vAlign w:val="center"/>
          </w:tcPr>
          <w:p w14:paraId="41843B57" w14:textId="77777777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Valve Repair</w:t>
            </w:r>
          </w:p>
        </w:tc>
        <w:tc>
          <w:tcPr>
            <w:tcW w:w="3192" w:type="dxa"/>
            <w:vAlign w:val="center"/>
          </w:tcPr>
          <w:p w14:paraId="08E544E3" w14:textId="77777777" w:rsidR="00A13271" w:rsidRDefault="00A13271" w:rsidP="003946EA">
            <w:pPr>
              <w:jc w:val="center"/>
            </w:pPr>
            <w:r>
              <w:t>$75</w:t>
            </w:r>
          </w:p>
        </w:tc>
        <w:tc>
          <w:tcPr>
            <w:tcW w:w="3192" w:type="dxa"/>
            <w:vAlign w:val="center"/>
          </w:tcPr>
          <w:p w14:paraId="5E90687E" w14:textId="77777777" w:rsidR="00A13271" w:rsidRDefault="00A13271" w:rsidP="003946EA">
            <w:pPr>
              <w:jc w:val="center"/>
            </w:pPr>
            <w:r>
              <w:t>$100</w:t>
            </w:r>
          </w:p>
        </w:tc>
      </w:tr>
      <w:tr w:rsidR="00A13271" w14:paraId="04C2D96D" w14:textId="77777777" w:rsidTr="003946EA">
        <w:tc>
          <w:tcPr>
            <w:tcW w:w="3192" w:type="dxa"/>
            <w:vAlign w:val="center"/>
          </w:tcPr>
          <w:p w14:paraId="22123321" w14:textId="53A92308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Tamper Fine</w:t>
            </w:r>
          </w:p>
        </w:tc>
        <w:tc>
          <w:tcPr>
            <w:tcW w:w="3192" w:type="dxa"/>
            <w:vAlign w:val="center"/>
          </w:tcPr>
          <w:p w14:paraId="2F4035FB" w14:textId="77777777" w:rsidR="00A13271" w:rsidRDefault="00A13271" w:rsidP="003946EA">
            <w:pPr>
              <w:jc w:val="center"/>
            </w:pPr>
            <w:r>
              <w:t>$300</w:t>
            </w:r>
          </w:p>
        </w:tc>
        <w:tc>
          <w:tcPr>
            <w:tcW w:w="3192" w:type="dxa"/>
            <w:vAlign w:val="center"/>
          </w:tcPr>
          <w:p w14:paraId="7BE10DCF" w14:textId="77777777" w:rsidR="00605841" w:rsidRDefault="00A13271" w:rsidP="003946EA">
            <w:pPr>
              <w:jc w:val="center"/>
            </w:pPr>
            <w:r>
              <w:t xml:space="preserve">$500 </w:t>
            </w:r>
            <w:r w:rsidR="00252381">
              <w:t>F</w:t>
            </w:r>
            <w:r>
              <w:t xml:space="preserve">irst offense </w:t>
            </w:r>
          </w:p>
          <w:p w14:paraId="4D63B27A" w14:textId="6A7DEC59" w:rsidR="00A13271" w:rsidRDefault="00A13271" w:rsidP="003946EA">
            <w:pPr>
              <w:jc w:val="center"/>
            </w:pPr>
            <w:r>
              <w:t>$1</w:t>
            </w:r>
            <w:r w:rsidR="00605841">
              <w:t>,</w:t>
            </w:r>
            <w:r>
              <w:t xml:space="preserve">000 per </w:t>
            </w:r>
            <w:r w:rsidR="00252381">
              <w:t>subsequent</w:t>
            </w:r>
            <w:r w:rsidR="00605841">
              <w:t xml:space="preserve"> offense</w:t>
            </w:r>
          </w:p>
        </w:tc>
      </w:tr>
    </w:tbl>
    <w:p w14:paraId="421BDBAD" w14:textId="77777777" w:rsidR="001D03DB" w:rsidRDefault="001D03DB"/>
    <w:p w14:paraId="4197158C" w14:textId="77777777" w:rsidR="003946EA" w:rsidRDefault="003946EA">
      <w:r>
        <w:br w:type="page"/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3121"/>
        <w:gridCol w:w="3115"/>
        <w:gridCol w:w="3114"/>
      </w:tblGrid>
      <w:tr w:rsidR="00A13271" w14:paraId="0F335568" w14:textId="77777777" w:rsidTr="003946EA">
        <w:trPr>
          <w:trHeight w:val="437"/>
        </w:trPr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41C754B6" w14:textId="435C28D4" w:rsidR="00A13271" w:rsidRPr="00A13271" w:rsidRDefault="00A13271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lastRenderedPageBreak/>
              <w:t>Sewer Connection Fees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1709B44B" w14:textId="77777777" w:rsidR="00A13271" w:rsidRPr="00A13271" w:rsidRDefault="00A13271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t>Approved June 1,2013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A56637B" w14:textId="77777777" w:rsidR="00A13271" w:rsidRPr="00A13271" w:rsidRDefault="00A13271" w:rsidP="003946EA">
            <w:pPr>
              <w:jc w:val="center"/>
              <w:rPr>
                <w:b/>
              </w:rPr>
            </w:pPr>
            <w:r w:rsidRPr="00A13271">
              <w:rPr>
                <w:b/>
              </w:rPr>
              <w:t>Proposed</w:t>
            </w:r>
          </w:p>
        </w:tc>
      </w:tr>
      <w:tr w:rsidR="00A13271" w14:paraId="7AEFBCD7" w14:textId="77777777" w:rsidTr="003946EA">
        <w:trPr>
          <w:trHeight w:val="437"/>
        </w:trPr>
        <w:tc>
          <w:tcPr>
            <w:tcW w:w="3121" w:type="dxa"/>
            <w:vAlign w:val="center"/>
          </w:tcPr>
          <w:p w14:paraId="3F602397" w14:textId="1AB1C28D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Cut &amp; Cap Service</w:t>
            </w:r>
          </w:p>
        </w:tc>
        <w:tc>
          <w:tcPr>
            <w:tcW w:w="3115" w:type="dxa"/>
            <w:vAlign w:val="center"/>
          </w:tcPr>
          <w:p w14:paraId="66422328" w14:textId="5DE93EC8" w:rsidR="00A13271" w:rsidRDefault="00A13271" w:rsidP="003946EA">
            <w:pPr>
              <w:jc w:val="center"/>
            </w:pPr>
            <w:r>
              <w:t>$1</w:t>
            </w:r>
            <w:r w:rsidR="00605841">
              <w:t>,</w:t>
            </w:r>
            <w:r>
              <w:t>000</w:t>
            </w:r>
          </w:p>
        </w:tc>
        <w:tc>
          <w:tcPr>
            <w:tcW w:w="3114" w:type="dxa"/>
            <w:vAlign w:val="center"/>
          </w:tcPr>
          <w:p w14:paraId="124BA46E" w14:textId="621BC1DE" w:rsidR="00A13271" w:rsidRDefault="00A13271" w:rsidP="003946EA">
            <w:pPr>
              <w:jc w:val="center"/>
            </w:pPr>
            <w:r>
              <w:t>$1</w:t>
            </w:r>
            <w:r w:rsidR="00605841">
              <w:t>,</w:t>
            </w:r>
            <w:r>
              <w:t>500</w:t>
            </w:r>
          </w:p>
        </w:tc>
      </w:tr>
      <w:tr w:rsidR="00A13271" w14:paraId="30F7B899" w14:textId="77777777" w:rsidTr="003946EA">
        <w:trPr>
          <w:trHeight w:val="437"/>
        </w:trPr>
        <w:tc>
          <w:tcPr>
            <w:tcW w:w="3121" w:type="dxa"/>
            <w:vAlign w:val="center"/>
          </w:tcPr>
          <w:p w14:paraId="5A2C7CBD" w14:textId="77777777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Sewer Reconnect</w:t>
            </w:r>
          </w:p>
        </w:tc>
        <w:tc>
          <w:tcPr>
            <w:tcW w:w="3115" w:type="dxa"/>
            <w:vAlign w:val="center"/>
          </w:tcPr>
          <w:p w14:paraId="77BA4994" w14:textId="77777777" w:rsidR="00A13271" w:rsidRDefault="00A13271" w:rsidP="003946EA">
            <w:pPr>
              <w:jc w:val="center"/>
            </w:pPr>
            <w:r>
              <w:t>$225</w:t>
            </w:r>
          </w:p>
        </w:tc>
        <w:tc>
          <w:tcPr>
            <w:tcW w:w="3114" w:type="dxa"/>
            <w:vAlign w:val="center"/>
          </w:tcPr>
          <w:p w14:paraId="40A5BAB0" w14:textId="77777777" w:rsidR="00A13271" w:rsidRDefault="00A13271" w:rsidP="003946EA">
            <w:pPr>
              <w:jc w:val="center"/>
            </w:pPr>
            <w:r>
              <w:t>$225</w:t>
            </w:r>
          </w:p>
        </w:tc>
      </w:tr>
      <w:tr w:rsidR="00A13271" w14:paraId="31275EB3" w14:textId="77777777" w:rsidTr="003946EA">
        <w:trPr>
          <w:trHeight w:val="437"/>
        </w:trPr>
        <w:tc>
          <w:tcPr>
            <w:tcW w:w="3121" w:type="dxa"/>
            <w:vAlign w:val="center"/>
          </w:tcPr>
          <w:p w14:paraId="2A718413" w14:textId="30814A21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Property Transfer</w:t>
            </w:r>
          </w:p>
        </w:tc>
        <w:tc>
          <w:tcPr>
            <w:tcW w:w="3115" w:type="dxa"/>
            <w:vAlign w:val="center"/>
          </w:tcPr>
          <w:p w14:paraId="5FE4931C" w14:textId="77777777" w:rsidR="00A13271" w:rsidRDefault="00A13271" w:rsidP="003946EA">
            <w:pPr>
              <w:jc w:val="center"/>
            </w:pPr>
            <w:r>
              <w:t>$50</w:t>
            </w:r>
          </w:p>
        </w:tc>
        <w:tc>
          <w:tcPr>
            <w:tcW w:w="3114" w:type="dxa"/>
            <w:vAlign w:val="center"/>
          </w:tcPr>
          <w:p w14:paraId="5EEC7A94" w14:textId="77777777" w:rsidR="00A13271" w:rsidRDefault="00A13271" w:rsidP="003946EA">
            <w:pPr>
              <w:jc w:val="center"/>
            </w:pPr>
            <w:r>
              <w:t>$60</w:t>
            </w:r>
          </w:p>
        </w:tc>
      </w:tr>
      <w:tr w:rsidR="00A13271" w14:paraId="621B0855" w14:textId="77777777" w:rsidTr="003946EA">
        <w:trPr>
          <w:trHeight w:val="455"/>
        </w:trPr>
        <w:tc>
          <w:tcPr>
            <w:tcW w:w="3121" w:type="dxa"/>
            <w:vAlign w:val="center"/>
          </w:tcPr>
          <w:p w14:paraId="4E68D830" w14:textId="6B05A296" w:rsidR="00A13271" w:rsidRPr="00252381" w:rsidRDefault="00A13271" w:rsidP="003946EA">
            <w:pPr>
              <w:jc w:val="center"/>
              <w:rPr>
                <w:b/>
              </w:rPr>
            </w:pPr>
            <w:r w:rsidRPr="00252381">
              <w:rPr>
                <w:b/>
              </w:rPr>
              <w:t>I/I Fee</w:t>
            </w:r>
          </w:p>
        </w:tc>
        <w:tc>
          <w:tcPr>
            <w:tcW w:w="3115" w:type="dxa"/>
            <w:vAlign w:val="center"/>
          </w:tcPr>
          <w:p w14:paraId="273A7724" w14:textId="77777777" w:rsidR="00A13271" w:rsidRDefault="00A13271" w:rsidP="003946EA">
            <w:pPr>
              <w:jc w:val="center"/>
            </w:pPr>
            <w:r>
              <w:t>$300</w:t>
            </w:r>
          </w:p>
        </w:tc>
        <w:tc>
          <w:tcPr>
            <w:tcW w:w="3114" w:type="dxa"/>
            <w:vAlign w:val="center"/>
          </w:tcPr>
          <w:p w14:paraId="08F9616B" w14:textId="77777777" w:rsidR="00A13271" w:rsidRDefault="00A13271" w:rsidP="003946EA">
            <w:pPr>
              <w:jc w:val="center"/>
            </w:pPr>
            <w:r>
              <w:t>No Change</w:t>
            </w:r>
          </w:p>
        </w:tc>
      </w:tr>
    </w:tbl>
    <w:p w14:paraId="6BE5A269" w14:textId="77777777" w:rsidR="003946EA" w:rsidRDefault="003946EA" w:rsidP="003946EA"/>
    <w:p w14:paraId="60562A6F" w14:textId="6B701849" w:rsidR="003946EA" w:rsidRDefault="003946EA" w:rsidP="003946EA">
      <w:r>
        <w:t xml:space="preserve">*Market Cost (Variable) </w:t>
      </w:r>
      <w:r w:rsidR="00605841">
        <w:t>r</w:t>
      </w:r>
      <w:r>
        <w:t xml:space="preserve">efers to market fluctuations in the cost of brass, copper and steel, which has a direct impact on price changes </w:t>
      </w:r>
      <w:r w:rsidR="00605841">
        <w:t>for</w:t>
      </w:r>
      <w:r>
        <w:t xml:space="preserve"> equipment and infrastructure. </w:t>
      </w:r>
    </w:p>
    <w:p w14:paraId="559A28E8" w14:textId="463BD396" w:rsidR="00605841" w:rsidRDefault="00605841" w:rsidP="00605841">
      <w:pPr>
        <w:spacing w:after="0" w:line="240" w:lineRule="auto"/>
        <w:ind w:left="4320" w:firstLine="720"/>
      </w:pPr>
    </w:p>
    <w:p w14:paraId="0030ED40" w14:textId="77777777" w:rsidR="00605841" w:rsidRDefault="00605841" w:rsidP="00605841">
      <w:pPr>
        <w:spacing w:after="0" w:line="240" w:lineRule="auto"/>
        <w:ind w:left="4320" w:firstLine="720"/>
      </w:pPr>
    </w:p>
    <w:p w14:paraId="16203004" w14:textId="77777777" w:rsidR="00605841" w:rsidRPr="00892B2F" w:rsidRDefault="00605841" w:rsidP="00605841">
      <w:pPr>
        <w:spacing w:after="0" w:line="240" w:lineRule="auto"/>
        <w:ind w:left="4320" w:firstLine="720"/>
      </w:pPr>
      <w:r w:rsidRPr="00892B2F">
        <w:t>___________________________________</w:t>
      </w:r>
    </w:p>
    <w:p w14:paraId="6BDEB3DC" w14:textId="77777777" w:rsidR="00605841" w:rsidRPr="00892B2F" w:rsidRDefault="00605841" w:rsidP="00605841">
      <w:pPr>
        <w:spacing w:after="0" w:line="240" w:lineRule="auto"/>
        <w:ind w:left="4320" w:firstLine="720"/>
      </w:pPr>
      <w:r w:rsidRPr="00892B2F">
        <w:t>Councillor Charles F. Tontar</w:t>
      </w:r>
    </w:p>
    <w:p w14:paraId="7C09F115" w14:textId="77777777" w:rsidR="00605841" w:rsidRDefault="00605841" w:rsidP="003946EA"/>
    <w:p w14:paraId="2EB993B1" w14:textId="10B54ADA" w:rsidR="00DA6EA1" w:rsidRPr="00DA6EA1" w:rsidRDefault="00DA6EA1" w:rsidP="00DA6E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City Council January 11, 2021:</w:t>
      </w:r>
      <w:bookmarkStart w:id="0" w:name="_GoBack"/>
      <w:bookmarkEnd w:id="0"/>
    </w:p>
    <w:p w14:paraId="0AC860E0" w14:textId="77777777" w:rsidR="00DA6EA1" w:rsidRPr="00DA6EA1" w:rsidRDefault="00DA6EA1" w:rsidP="00DA6EA1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DA6EA1">
        <w:rPr>
          <w:rFonts w:ascii="Times New Roman" w:hAnsi="Times New Roman" w:cs="Times New Roman"/>
          <w:sz w:val="23"/>
          <w:szCs w:val="23"/>
        </w:rPr>
        <w:t xml:space="preserve">Motion to refer to Public Utilities by </w:t>
      </w:r>
      <w:proofErr w:type="spellStart"/>
      <w:r w:rsidRPr="00DA6EA1">
        <w:rPr>
          <w:rFonts w:ascii="Times New Roman" w:hAnsi="Times New Roman" w:cs="Times New Roman"/>
          <w:sz w:val="23"/>
          <w:szCs w:val="23"/>
        </w:rPr>
        <w:t>Councillor</w:t>
      </w:r>
      <w:proofErr w:type="spellEnd"/>
      <w:r w:rsidRPr="00DA6E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3"/>
          <w:szCs w:val="23"/>
        </w:rPr>
        <w:t>Tontar</w:t>
      </w:r>
      <w:proofErr w:type="spellEnd"/>
      <w:r w:rsidRPr="00DA6EA1">
        <w:rPr>
          <w:rFonts w:ascii="Times New Roman" w:hAnsi="Times New Roman" w:cs="Times New Roman"/>
          <w:sz w:val="23"/>
          <w:szCs w:val="23"/>
        </w:rPr>
        <w:t xml:space="preserve">, seconded by </w:t>
      </w:r>
      <w:proofErr w:type="spellStart"/>
      <w:r w:rsidRPr="00DA6EA1">
        <w:rPr>
          <w:rFonts w:ascii="Times New Roman" w:hAnsi="Times New Roman" w:cs="Times New Roman"/>
          <w:sz w:val="23"/>
          <w:szCs w:val="23"/>
        </w:rPr>
        <w:t>Councillor</w:t>
      </w:r>
      <w:proofErr w:type="spellEnd"/>
      <w:r w:rsidRPr="00DA6EA1">
        <w:rPr>
          <w:rFonts w:ascii="Times New Roman" w:hAnsi="Times New Roman" w:cs="Times New Roman"/>
          <w:sz w:val="23"/>
          <w:szCs w:val="23"/>
        </w:rPr>
        <w:t xml:space="preserve"> Khan.</w:t>
      </w:r>
      <w:proofErr w:type="gramEnd"/>
      <w:r w:rsidRPr="00DA6EA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A6EA1">
        <w:rPr>
          <w:rFonts w:ascii="Times New Roman" w:hAnsi="Times New Roman" w:cs="Times New Roman"/>
          <w:sz w:val="23"/>
          <w:szCs w:val="23"/>
        </w:rPr>
        <w:t>So voted.</w:t>
      </w:r>
      <w:proofErr w:type="gramEnd"/>
    </w:p>
    <w:p w14:paraId="421B8324" w14:textId="43DE2906" w:rsidR="001D03DB" w:rsidRDefault="001D03DB"/>
    <w:p w14:paraId="3482C2E3" w14:textId="77777777" w:rsidR="005442DE" w:rsidRDefault="005442DE"/>
    <w:p w14:paraId="177B4AE5" w14:textId="77777777" w:rsidR="005442DE" w:rsidRDefault="005442DE"/>
    <w:sectPr w:rsidR="005442DE" w:rsidSect="00D66DA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A434F" w14:textId="77777777" w:rsidR="00D66DA9" w:rsidRDefault="00D66DA9" w:rsidP="00D66DA9">
      <w:pPr>
        <w:spacing w:after="0" w:line="240" w:lineRule="auto"/>
      </w:pPr>
      <w:r>
        <w:separator/>
      </w:r>
    </w:p>
  </w:endnote>
  <w:endnote w:type="continuationSeparator" w:id="0">
    <w:p w14:paraId="291A49F9" w14:textId="77777777" w:rsidR="00D66DA9" w:rsidRDefault="00D66DA9" w:rsidP="00D6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0D0FA" w14:textId="77777777" w:rsidR="00D66DA9" w:rsidRDefault="00D66DA9" w:rsidP="00D66DA9">
      <w:pPr>
        <w:spacing w:after="0" w:line="240" w:lineRule="auto"/>
      </w:pPr>
      <w:r>
        <w:separator/>
      </w:r>
    </w:p>
  </w:footnote>
  <w:footnote w:type="continuationSeparator" w:id="0">
    <w:p w14:paraId="3F7608BF" w14:textId="77777777" w:rsidR="00D66DA9" w:rsidRDefault="00D66DA9" w:rsidP="00D6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CD27" w14:textId="77777777" w:rsidR="00892CB6" w:rsidRDefault="00892CB6" w:rsidP="00892CB6">
    <w:pPr>
      <w:pStyle w:val="Header"/>
      <w:tabs>
        <w:tab w:val="clear" w:pos="4680"/>
        <w:tab w:val="clear" w:pos="9360"/>
        <w:tab w:val="left" w:pos="7740"/>
      </w:tabs>
    </w:pPr>
  </w:p>
  <w:p w14:paraId="63A666BA" w14:textId="0E22E1BA" w:rsidR="00892CB6" w:rsidRDefault="00892CB6" w:rsidP="00892CB6">
    <w:pPr>
      <w:pStyle w:val="Header"/>
      <w:tabs>
        <w:tab w:val="clear" w:pos="4680"/>
        <w:tab w:val="clear" w:pos="9360"/>
        <w:tab w:val="left" w:pos="7740"/>
      </w:tabs>
      <w:jc w:val="right"/>
    </w:pPr>
    <w:r>
      <w:rPr>
        <w:rFonts w:ascii="Times New Roman" w:eastAsia="Times New Roman" w:hAnsi="Times New Roman" w:cs="Times New Roman"/>
        <w:smallCaps/>
      </w:rPr>
      <w:t>ordr230_01_11_2021</w:t>
    </w:r>
  </w:p>
  <w:p w14:paraId="2E3CD579" w14:textId="77777777" w:rsidR="00892CB6" w:rsidRDefault="00892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FDEB9" w14:textId="7284DEEA" w:rsidR="00D66DA9" w:rsidRPr="00D66DA9" w:rsidRDefault="00801B20" w:rsidP="00D66DA9">
    <w:pPr>
      <w:spacing w:after="0" w:line="240" w:lineRule="auto"/>
      <w:rPr>
        <w:rFonts w:ascii="Times New Roman" w:eastAsia="Times New Roman" w:hAnsi="Times New Roman" w:cs="Times New Roman"/>
        <w:smallCaps/>
        <w:sz w:val="16"/>
        <w:szCs w:val="16"/>
      </w:rPr>
    </w:pPr>
    <w:r>
      <w:rPr>
        <w:rFonts w:ascii="Times New Roman" w:eastAsia="Times New Roman" w:hAnsi="Times New Roman" w:cs="Times New Roman"/>
        <w:smallCaps/>
        <w:sz w:val="16"/>
        <w:szCs w:val="16"/>
      </w:rPr>
      <w:tab/>
    </w:r>
    <w:r>
      <w:rPr>
        <w:rFonts w:ascii="Times New Roman" w:eastAsia="Times New Roman" w:hAnsi="Times New Roman" w:cs="Times New Roman"/>
        <w:smallCaps/>
        <w:sz w:val="16"/>
        <w:szCs w:val="16"/>
      </w:rPr>
      <w:tab/>
    </w:r>
    <w:r>
      <w:rPr>
        <w:rFonts w:ascii="Times New Roman" w:eastAsia="Times New Roman" w:hAnsi="Times New Roman" w:cs="Times New Roman"/>
        <w:smallCaps/>
        <w:sz w:val="16"/>
        <w:szCs w:val="16"/>
      </w:rPr>
      <w:tab/>
    </w:r>
    <w:r>
      <w:rPr>
        <w:rFonts w:ascii="Times New Roman" w:eastAsia="Times New Roman" w:hAnsi="Times New Roman" w:cs="Times New Roman"/>
        <w:smallCaps/>
        <w:sz w:val="16"/>
        <w:szCs w:val="16"/>
      </w:rPr>
      <w:tab/>
    </w:r>
    <w:r>
      <w:rPr>
        <w:rFonts w:ascii="Times New Roman" w:eastAsia="Times New Roman" w:hAnsi="Times New Roman" w:cs="Times New Roman"/>
        <w:smallCaps/>
        <w:sz w:val="16"/>
        <w:szCs w:val="16"/>
      </w:rPr>
      <w:tab/>
    </w:r>
    <w:r>
      <w:rPr>
        <w:rFonts w:ascii="Times New Roman" w:eastAsia="Times New Roman" w:hAnsi="Times New Roman" w:cs="Times New Roman"/>
        <w:smallCaps/>
        <w:sz w:val="16"/>
        <w:szCs w:val="16"/>
      </w:rPr>
      <w:tab/>
    </w:r>
    <w:r>
      <w:rPr>
        <w:rFonts w:ascii="Times New Roman" w:eastAsia="Times New Roman" w:hAnsi="Times New Roman" w:cs="Times New Roman"/>
        <w:smallCaps/>
        <w:sz w:val="16"/>
        <w:szCs w:val="16"/>
      </w:rPr>
      <w:tab/>
    </w:r>
    <w:r>
      <w:rPr>
        <w:rFonts w:ascii="Times New Roman" w:eastAsia="Times New Roman" w:hAnsi="Times New Roman" w:cs="Times New Roman"/>
        <w:smallCaps/>
      </w:rPr>
      <w:tab/>
    </w:r>
    <w:r>
      <w:rPr>
        <w:rFonts w:ascii="Times New Roman" w:eastAsia="Times New Roman" w:hAnsi="Times New Roman" w:cs="Times New Roman"/>
        <w:smallCaps/>
      </w:rPr>
      <w:tab/>
    </w:r>
    <w:r>
      <w:rPr>
        <w:rFonts w:ascii="Times New Roman" w:eastAsia="Times New Roman" w:hAnsi="Times New Roman" w:cs="Times New Roman"/>
        <w:smallCaps/>
      </w:rPr>
      <w:tab/>
      <w:t>ordr230_01_11_2021</w:t>
    </w:r>
    <w:r w:rsidR="00D66DA9" w:rsidRPr="00D66DA9">
      <w:rPr>
        <w:rFonts w:ascii="Times New Roman" w:eastAsia="Times New Roman" w:hAnsi="Times New Roman" w:cs="Times New Roman"/>
        <w:smallCaps/>
        <w:sz w:val="16"/>
        <w:szCs w:val="1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67"/>
    <w:rsid w:val="00033967"/>
    <w:rsid w:val="001D03DB"/>
    <w:rsid w:val="00252381"/>
    <w:rsid w:val="002727BE"/>
    <w:rsid w:val="002C2CD8"/>
    <w:rsid w:val="002E7EAE"/>
    <w:rsid w:val="003946EA"/>
    <w:rsid w:val="0048762C"/>
    <w:rsid w:val="005442DE"/>
    <w:rsid w:val="00605841"/>
    <w:rsid w:val="00801B20"/>
    <w:rsid w:val="00892CB6"/>
    <w:rsid w:val="009D5B00"/>
    <w:rsid w:val="00A13271"/>
    <w:rsid w:val="00BC68FB"/>
    <w:rsid w:val="00D66DA9"/>
    <w:rsid w:val="00D90009"/>
    <w:rsid w:val="00DA6EA1"/>
    <w:rsid w:val="00DB1008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D4D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A9"/>
  </w:style>
  <w:style w:type="paragraph" w:styleId="Footer">
    <w:name w:val="footer"/>
    <w:basedOn w:val="Normal"/>
    <w:link w:val="FooterChar"/>
    <w:uiPriority w:val="99"/>
    <w:unhideWhenUsed/>
    <w:rsid w:val="00D6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A9"/>
  </w:style>
  <w:style w:type="paragraph" w:styleId="BalloonText">
    <w:name w:val="Balloon Text"/>
    <w:basedOn w:val="Normal"/>
    <w:link w:val="BalloonTextChar"/>
    <w:uiPriority w:val="99"/>
    <w:semiHidden/>
    <w:unhideWhenUsed/>
    <w:rsid w:val="00D6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EA1"/>
    <w:pPr>
      <w:widowControl w:val="0"/>
      <w:ind w:left="720"/>
      <w:contextualSpacing/>
    </w:pPr>
  </w:style>
  <w:style w:type="paragraph" w:styleId="NoSpacing">
    <w:name w:val="No Spacing"/>
    <w:uiPriority w:val="1"/>
    <w:qFormat/>
    <w:rsid w:val="00DA6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A9"/>
  </w:style>
  <w:style w:type="paragraph" w:styleId="Footer">
    <w:name w:val="footer"/>
    <w:basedOn w:val="Normal"/>
    <w:link w:val="FooterChar"/>
    <w:uiPriority w:val="99"/>
    <w:unhideWhenUsed/>
    <w:rsid w:val="00D6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A9"/>
  </w:style>
  <w:style w:type="paragraph" w:styleId="BalloonText">
    <w:name w:val="Balloon Text"/>
    <w:basedOn w:val="Normal"/>
    <w:link w:val="BalloonTextChar"/>
    <w:uiPriority w:val="99"/>
    <w:semiHidden/>
    <w:unhideWhenUsed/>
    <w:rsid w:val="00D6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EA1"/>
    <w:pPr>
      <w:widowControl w:val="0"/>
      <w:ind w:left="720"/>
      <w:contextualSpacing/>
    </w:pPr>
  </w:style>
  <w:style w:type="paragraph" w:styleId="NoSpacing">
    <w:name w:val="No Spacing"/>
    <w:uiPriority w:val="1"/>
    <w:qFormat/>
    <w:rsid w:val="00DA6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Spurrknight</dc:creator>
  <cp:lastModifiedBy>Kathleen Sullivan</cp:lastModifiedBy>
  <cp:revision>4</cp:revision>
  <cp:lastPrinted>2021-01-07T15:59:00Z</cp:lastPrinted>
  <dcterms:created xsi:type="dcterms:W3CDTF">2020-12-21T14:40:00Z</dcterms:created>
  <dcterms:modified xsi:type="dcterms:W3CDTF">2021-01-13T20:36:00Z</dcterms:modified>
</cp:coreProperties>
</file>