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004B" w14:textId="11C85AA1" w:rsidR="00A436B7" w:rsidRDefault="33E45048" w:rsidP="33E45048">
      <w:pPr>
        <w:pStyle w:val="Title"/>
        <w:rPr>
          <w:sz w:val="36"/>
          <w:szCs w:val="36"/>
        </w:rPr>
      </w:pPr>
      <w:r w:rsidRPr="33E45048">
        <w:rPr>
          <w:sz w:val="36"/>
          <w:szCs w:val="36"/>
        </w:rPr>
        <w:t>Ordinance Review Guidance</w:t>
      </w:r>
    </w:p>
    <w:p w14:paraId="75DA7BAC" w14:textId="23A5C7A2" w:rsidR="00423D52" w:rsidRPr="00423D52" w:rsidRDefault="33E45048" w:rsidP="00423D52">
      <w:r>
        <w:t xml:space="preserve">Updated on </w:t>
      </w:r>
      <w:r w:rsidR="00237471">
        <w:t>March</w:t>
      </w:r>
      <w:r>
        <w:t xml:space="preserve"> 1</w:t>
      </w:r>
      <w:r w:rsidR="00237471">
        <w:t>7</w:t>
      </w:r>
      <w:r>
        <w:t>, 202</w:t>
      </w:r>
      <w:r w:rsidR="004B62EA">
        <w:t>1</w:t>
      </w:r>
    </w:p>
    <w:p w14:paraId="76A3DD67" w14:textId="19AEEBB0" w:rsidR="000328AE" w:rsidRPr="008D5C5A" w:rsidRDefault="000328AE" w:rsidP="008D5C5A">
      <w:pPr>
        <w:rPr>
          <w:rFonts w:ascii="Garamond" w:hAnsi="Garamond"/>
          <w:b/>
          <w:bCs/>
          <w:sz w:val="24"/>
          <w:szCs w:val="24"/>
        </w:rPr>
      </w:pPr>
      <w:r w:rsidRPr="008D5C5A">
        <w:rPr>
          <w:rFonts w:ascii="Garamond" w:hAnsi="Garamond"/>
          <w:b/>
          <w:bCs/>
          <w:sz w:val="24"/>
          <w:szCs w:val="24"/>
        </w:rPr>
        <w:t>Non-</w:t>
      </w:r>
      <w:r w:rsidR="004421E6" w:rsidRPr="008D5C5A">
        <w:rPr>
          <w:rFonts w:ascii="Garamond" w:hAnsi="Garamond"/>
          <w:b/>
          <w:bCs/>
          <w:sz w:val="24"/>
          <w:szCs w:val="24"/>
        </w:rPr>
        <w:t>substantive</w:t>
      </w:r>
      <w:r w:rsidRPr="008D5C5A">
        <w:rPr>
          <w:rFonts w:ascii="Garamond" w:hAnsi="Garamond"/>
          <w:b/>
          <w:bCs/>
          <w:sz w:val="24"/>
          <w:szCs w:val="24"/>
        </w:rPr>
        <w:t xml:space="preserve"> Changes</w:t>
      </w:r>
      <w:r w:rsidR="00EA2093" w:rsidRPr="008D5C5A">
        <w:rPr>
          <w:rFonts w:ascii="Garamond" w:hAnsi="Garamond"/>
          <w:b/>
          <w:bCs/>
          <w:sz w:val="24"/>
          <w:szCs w:val="24"/>
        </w:rPr>
        <w:t xml:space="preserve"> (Red-Line Changes)</w:t>
      </w:r>
    </w:p>
    <w:p w14:paraId="498F5AAB" w14:textId="77777777" w:rsidR="004421E6" w:rsidRDefault="003717F6" w:rsidP="008D5C5A">
      <w:pPr>
        <w:pStyle w:val="ListParagraph"/>
        <w:numPr>
          <w:ilvl w:val="0"/>
          <w:numId w:val="3"/>
        </w:numPr>
        <w:rPr>
          <w:rFonts w:ascii="Garamond" w:hAnsi="Garamond"/>
          <w:sz w:val="24"/>
          <w:szCs w:val="24"/>
        </w:rPr>
      </w:pPr>
      <w:r w:rsidRPr="004421E6">
        <w:rPr>
          <w:rFonts w:ascii="Garamond" w:hAnsi="Garamond"/>
          <w:sz w:val="24"/>
          <w:szCs w:val="24"/>
        </w:rPr>
        <w:t>Gender Neutrality</w:t>
      </w:r>
    </w:p>
    <w:p w14:paraId="694271C5" w14:textId="03283605" w:rsidR="003717F6" w:rsidRDefault="003717F6" w:rsidP="008D5C5A">
      <w:pPr>
        <w:pStyle w:val="ListParagraph"/>
        <w:numPr>
          <w:ilvl w:val="1"/>
          <w:numId w:val="3"/>
        </w:numPr>
        <w:rPr>
          <w:rFonts w:ascii="Garamond" w:hAnsi="Garamond"/>
          <w:sz w:val="24"/>
          <w:szCs w:val="24"/>
        </w:rPr>
      </w:pPr>
      <w:r w:rsidRPr="004421E6">
        <w:rPr>
          <w:rFonts w:ascii="Garamond" w:hAnsi="Garamond"/>
          <w:sz w:val="24"/>
          <w:szCs w:val="24"/>
        </w:rPr>
        <w:t xml:space="preserve">References to She/He, Her/Him, Hers/His can be changed to reflect neutrality such as “their”, “they”. In case of Chairman, the name can be changed to Chair. </w:t>
      </w:r>
    </w:p>
    <w:p w14:paraId="38AD17E3" w14:textId="6FEFB97C" w:rsidR="00EA2093" w:rsidRDefault="00EA2093" w:rsidP="008D5C5A">
      <w:pPr>
        <w:pStyle w:val="ListParagraph"/>
        <w:numPr>
          <w:ilvl w:val="0"/>
          <w:numId w:val="3"/>
        </w:numPr>
        <w:rPr>
          <w:rFonts w:ascii="Garamond" w:hAnsi="Garamond"/>
          <w:sz w:val="24"/>
          <w:szCs w:val="24"/>
        </w:rPr>
      </w:pPr>
      <w:r>
        <w:rPr>
          <w:rFonts w:ascii="Garamond" w:hAnsi="Garamond"/>
          <w:sz w:val="24"/>
          <w:szCs w:val="24"/>
        </w:rPr>
        <w:t>Capitalization of Positions, “City” or “City of Newburyport”</w:t>
      </w:r>
    </w:p>
    <w:p w14:paraId="5AABBA83" w14:textId="5EEEDA9C" w:rsidR="00EA2093" w:rsidRPr="004421E6" w:rsidRDefault="33E45048" w:rsidP="008D5C5A">
      <w:pPr>
        <w:pStyle w:val="ListParagraph"/>
        <w:numPr>
          <w:ilvl w:val="1"/>
          <w:numId w:val="3"/>
        </w:numPr>
        <w:rPr>
          <w:rFonts w:ascii="Garamond" w:hAnsi="Garamond"/>
          <w:sz w:val="24"/>
          <w:szCs w:val="24"/>
        </w:rPr>
      </w:pPr>
      <w:r w:rsidRPr="33E45048">
        <w:rPr>
          <w:rFonts w:ascii="Garamond" w:hAnsi="Garamond"/>
          <w:sz w:val="24"/>
          <w:szCs w:val="24"/>
        </w:rPr>
        <w:t>We need to confirm with our publisher, Municode, to make sure that they do not remove capitalization if something is not obvious as a proper noun. For example, “City” in the “</w:t>
      </w:r>
      <w:r w:rsidR="004B71C6">
        <w:rPr>
          <w:rFonts w:ascii="Garamond" w:hAnsi="Garamond"/>
          <w:sz w:val="24"/>
          <w:szCs w:val="24"/>
        </w:rPr>
        <w:t>C</w:t>
      </w:r>
      <w:r w:rsidRPr="33E45048">
        <w:rPr>
          <w:rFonts w:ascii="Garamond" w:hAnsi="Garamond"/>
          <w:sz w:val="24"/>
          <w:szCs w:val="24"/>
        </w:rPr>
        <w:t>ity of Newburyport” or positions such as the Director of Public Services, Mayor, City Marshal will need to be confirmed if capitalization or not.</w:t>
      </w:r>
    </w:p>
    <w:p w14:paraId="144EB684" w14:textId="77777777" w:rsidR="004421E6" w:rsidRDefault="000328AE" w:rsidP="008D5C5A">
      <w:pPr>
        <w:pStyle w:val="ListParagraph"/>
        <w:numPr>
          <w:ilvl w:val="0"/>
          <w:numId w:val="3"/>
        </w:numPr>
        <w:rPr>
          <w:rFonts w:ascii="Garamond" w:hAnsi="Garamond"/>
          <w:sz w:val="24"/>
          <w:szCs w:val="24"/>
        </w:rPr>
      </w:pPr>
      <w:r w:rsidRPr="004421E6">
        <w:rPr>
          <w:rFonts w:ascii="Garamond" w:hAnsi="Garamond"/>
          <w:sz w:val="24"/>
          <w:szCs w:val="24"/>
        </w:rPr>
        <w:t>Department/Position References</w:t>
      </w:r>
    </w:p>
    <w:p w14:paraId="2C9DEAE4" w14:textId="0680971D" w:rsidR="003717F6" w:rsidRPr="004421E6" w:rsidRDefault="1DDE96FD" w:rsidP="008D5C5A">
      <w:pPr>
        <w:pStyle w:val="ListParagraph"/>
        <w:numPr>
          <w:ilvl w:val="1"/>
          <w:numId w:val="3"/>
        </w:numPr>
        <w:rPr>
          <w:rFonts w:ascii="Garamond" w:hAnsi="Garamond"/>
          <w:sz w:val="24"/>
          <w:szCs w:val="24"/>
        </w:rPr>
      </w:pPr>
      <w:r w:rsidRPr="1DDE96FD">
        <w:rPr>
          <w:rFonts w:ascii="Garamond" w:hAnsi="Garamond"/>
          <w:sz w:val="24"/>
          <w:szCs w:val="24"/>
        </w:rPr>
        <w:t>Update any outdated references to positions; i.e. supervisor of public works is now referred to as the director of public services or references to selectmen, alderman when referencing our city should be changed to city council.</w:t>
      </w:r>
    </w:p>
    <w:p w14:paraId="65C2188C" w14:textId="77777777" w:rsidR="004421E6" w:rsidRDefault="003717F6" w:rsidP="008D5C5A">
      <w:pPr>
        <w:pStyle w:val="ListParagraph"/>
        <w:numPr>
          <w:ilvl w:val="0"/>
          <w:numId w:val="3"/>
        </w:numPr>
        <w:rPr>
          <w:rFonts w:ascii="Garamond" w:hAnsi="Garamond"/>
          <w:sz w:val="24"/>
          <w:szCs w:val="24"/>
        </w:rPr>
      </w:pPr>
      <w:r w:rsidRPr="004421E6">
        <w:rPr>
          <w:rFonts w:ascii="Garamond" w:hAnsi="Garamond"/>
          <w:sz w:val="24"/>
          <w:szCs w:val="24"/>
        </w:rPr>
        <w:t>Verify Internal cross references</w:t>
      </w:r>
    </w:p>
    <w:p w14:paraId="735152B4" w14:textId="6A95E2A5" w:rsidR="003717F6" w:rsidRPr="004421E6" w:rsidRDefault="003717F6" w:rsidP="008D5C5A">
      <w:pPr>
        <w:pStyle w:val="ListParagraph"/>
        <w:numPr>
          <w:ilvl w:val="1"/>
          <w:numId w:val="3"/>
        </w:numPr>
        <w:rPr>
          <w:rFonts w:ascii="Garamond" w:hAnsi="Garamond"/>
          <w:sz w:val="24"/>
          <w:szCs w:val="24"/>
        </w:rPr>
      </w:pPr>
      <w:r w:rsidRPr="004421E6">
        <w:rPr>
          <w:rFonts w:ascii="Garamond" w:hAnsi="Garamond"/>
          <w:sz w:val="24"/>
          <w:szCs w:val="24"/>
        </w:rPr>
        <w:t>Confirm that chapter</w:t>
      </w:r>
      <w:r w:rsidR="00EA2093">
        <w:rPr>
          <w:rFonts w:ascii="Garamond" w:hAnsi="Garamond"/>
          <w:sz w:val="24"/>
          <w:szCs w:val="24"/>
        </w:rPr>
        <w:t xml:space="preserve"> and sub-</w:t>
      </w:r>
      <w:r w:rsidRPr="004421E6">
        <w:rPr>
          <w:rFonts w:ascii="Garamond" w:hAnsi="Garamond"/>
          <w:sz w:val="24"/>
          <w:szCs w:val="24"/>
        </w:rPr>
        <w:t>sections referenced are the correct ones.</w:t>
      </w:r>
      <w:r w:rsidR="00EA2093">
        <w:rPr>
          <w:rFonts w:ascii="Garamond" w:hAnsi="Garamond"/>
          <w:sz w:val="24"/>
          <w:szCs w:val="24"/>
        </w:rPr>
        <w:t xml:space="preserve"> Double checking the cross references internally within the same Chapter should be done easily. </w:t>
      </w:r>
    </w:p>
    <w:p w14:paraId="10AA2B96" w14:textId="77777777" w:rsidR="004421E6" w:rsidRDefault="000328AE" w:rsidP="008D5C5A">
      <w:pPr>
        <w:pStyle w:val="ListParagraph"/>
        <w:numPr>
          <w:ilvl w:val="0"/>
          <w:numId w:val="3"/>
        </w:numPr>
        <w:rPr>
          <w:rFonts w:ascii="Garamond" w:hAnsi="Garamond"/>
          <w:sz w:val="24"/>
          <w:szCs w:val="24"/>
        </w:rPr>
      </w:pPr>
      <w:r w:rsidRPr="004421E6">
        <w:rPr>
          <w:rFonts w:ascii="Garamond" w:hAnsi="Garamond"/>
          <w:sz w:val="24"/>
          <w:szCs w:val="24"/>
        </w:rPr>
        <w:t>Editorial Updates</w:t>
      </w:r>
    </w:p>
    <w:p w14:paraId="092BD1B4" w14:textId="2093CEED" w:rsidR="000328AE" w:rsidRPr="004421E6" w:rsidRDefault="33E45048" w:rsidP="008D5C5A">
      <w:pPr>
        <w:pStyle w:val="ListParagraph"/>
        <w:numPr>
          <w:ilvl w:val="1"/>
          <w:numId w:val="3"/>
        </w:numPr>
        <w:rPr>
          <w:rFonts w:ascii="Garamond" w:hAnsi="Garamond"/>
          <w:sz w:val="24"/>
          <w:szCs w:val="24"/>
        </w:rPr>
      </w:pPr>
      <w:r w:rsidRPr="33E45048">
        <w:rPr>
          <w:rFonts w:ascii="Garamond" w:hAnsi="Garamond"/>
          <w:sz w:val="24"/>
          <w:szCs w:val="24"/>
        </w:rPr>
        <w:t>Typos, grammatical errors, sentence structures; simple is better without changing the meaning of the law. Removal of extraneous words is okay. Reorganization of listed items within a section is acceptable.</w:t>
      </w:r>
    </w:p>
    <w:p w14:paraId="5A88C7AB" w14:textId="0176ADB1" w:rsidR="004421E6" w:rsidRDefault="004421E6" w:rsidP="008D5C5A">
      <w:pPr>
        <w:pStyle w:val="ListParagraph"/>
        <w:numPr>
          <w:ilvl w:val="0"/>
          <w:numId w:val="3"/>
        </w:numPr>
        <w:rPr>
          <w:rFonts w:ascii="Garamond" w:hAnsi="Garamond"/>
          <w:sz w:val="24"/>
          <w:szCs w:val="24"/>
        </w:rPr>
      </w:pPr>
      <w:r>
        <w:rPr>
          <w:rFonts w:ascii="Garamond" w:hAnsi="Garamond"/>
          <w:sz w:val="24"/>
          <w:szCs w:val="24"/>
        </w:rPr>
        <w:t>References to other sources i.e.</w:t>
      </w:r>
      <w:r w:rsidR="003A72D6" w:rsidRPr="004421E6">
        <w:rPr>
          <w:rFonts w:ascii="Garamond" w:hAnsi="Garamond"/>
          <w:sz w:val="24"/>
          <w:szCs w:val="24"/>
        </w:rPr>
        <w:t xml:space="preserve"> General Laws </w:t>
      </w:r>
    </w:p>
    <w:p w14:paraId="55E6A096" w14:textId="0B1476FB" w:rsidR="004421E6" w:rsidRDefault="00EA2093" w:rsidP="008D5C5A">
      <w:pPr>
        <w:pStyle w:val="ListParagraph"/>
        <w:numPr>
          <w:ilvl w:val="1"/>
          <w:numId w:val="3"/>
        </w:numPr>
        <w:rPr>
          <w:rFonts w:ascii="Garamond" w:hAnsi="Garamond"/>
          <w:sz w:val="24"/>
          <w:szCs w:val="24"/>
        </w:rPr>
      </w:pPr>
      <w:r>
        <w:rPr>
          <w:rFonts w:ascii="Garamond" w:hAnsi="Garamond"/>
          <w:sz w:val="24"/>
          <w:szCs w:val="24"/>
        </w:rPr>
        <w:t xml:space="preserve">Use </w:t>
      </w:r>
      <w:r w:rsidR="003A72D6" w:rsidRPr="004421E6">
        <w:rPr>
          <w:rFonts w:ascii="Garamond" w:hAnsi="Garamond"/>
          <w:sz w:val="24"/>
          <w:szCs w:val="24"/>
        </w:rPr>
        <w:t>M.G.L</w:t>
      </w:r>
      <w:r>
        <w:rPr>
          <w:rFonts w:ascii="Garamond" w:hAnsi="Garamond"/>
          <w:sz w:val="24"/>
          <w:szCs w:val="24"/>
        </w:rPr>
        <w:t xml:space="preserve"> which should replace M.G.L.A. and G.L.</w:t>
      </w:r>
    </w:p>
    <w:p w14:paraId="2B251FAD" w14:textId="41279667" w:rsidR="00EA2093" w:rsidRDefault="33E45048" w:rsidP="008D5C5A">
      <w:pPr>
        <w:pStyle w:val="ListParagraph"/>
        <w:numPr>
          <w:ilvl w:val="1"/>
          <w:numId w:val="3"/>
        </w:numPr>
        <w:rPr>
          <w:rFonts w:ascii="Garamond" w:hAnsi="Garamond"/>
          <w:sz w:val="24"/>
          <w:szCs w:val="24"/>
        </w:rPr>
      </w:pPr>
      <w:r w:rsidRPr="33E45048">
        <w:rPr>
          <w:rFonts w:ascii="Garamond" w:hAnsi="Garamond"/>
          <w:sz w:val="24"/>
          <w:szCs w:val="24"/>
        </w:rPr>
        <w:t xml:space="preserve">Solicitor Reich will review all statutory references for follow up. Feel free to note any in highlight if embedded into the code language. </w:t>
      </w:r>
    </w:p>
    <w:p w14:paraId="26C1BD12" w14:textId="2242A822" w:rsidR="004B62EA" w:rsidRDefault="004B62EA" w:rsidP="004B62EA">
      <w:pPr>
        <w:pStyle w:val="ListParagraph"/>
        <w:numPr>
          <w:ilvl w:val="0"/>
          <w:numId w:val="3"/>
        </w:numPr>
        <w:rPr>
          <w:rFonts w:ascii="Garamond" w:hAnsi="Garamond"/>
          <w:sz w:val="24"/>
          <w:szCs w:val="24"/>
        </w:rPr>
      </w:pPr>
      <w:r>
        <w:rPr>
          <w:rFonts w:ascii="Garamond" w:hAnsi="Garamond"/>
          <w:sz w:val="24"/>
          <w:szCs w:val="24"/>
        </w:rPr>
        <w:t>Use of “ordinance” within the code should be removed. The first time reference in the code should note the Article in detail with “the Article” or “this Article” being used after.</w:t>
      </w:r>
    </w:p>
    <w:p w14:paraId="7238DA0B" w14:textId="0C457821" w:rsidR="00BB359A" w:rsidRDefault="00BB359A" w:rsidP="004B62EA">
      <w:pPr>
        <w:pStyle w:val="ListParagraph"/>
        <w:numPr>
          <w:ilvl w:val="0"/>
          <w:numId w:val="3"/>
        </w:numPr>
        <w:rPr>
          <w:rFonts w:ascii="Garamond" w:hAnsi="Garamond"/>
          <w:sz w:val="24"/>
          <w:szCs w:val="24"/>
        </w:rPr>
      </w:pPr>
      <w:r>
        <w:rPr>
          <w:rFonts w:ascii="Garamond" w:hAnsi="Garamond"/>
          <w:sz w:val="24"/>
          <w:szCs w:val="24"/>
        </w:rPr>
        <w:t xml:space="preserve">Use of “shall” for mandatory and “may” for optional/directory. All uses of “will” should be flagged and changed to “shall”. </w:t>
      </w:r>
    </w:p>
    <w:p w14:paraId="601E3B37" w14:textId="777BC386" w:rsidR="004B71C6" w:rsidRDefault="004B71C6" w:rsidP="004B62EA">
      <w:pPr>
        <w:pStyle w:val="ListParagraph"/>
        <w:numPr>
          <w:ilvl w:val="0"/>
          <w:numId w:val="3"/>
        </w:numPr>
        <w:rPr>
          <w:rFonts w:ascii="Garamond" w:hAnsi="Garamond"/>
          <w:sz w:val="24"/>
          <w:szCs w:val="24"/>
        </w:rPr>
      </w:pPr>
      <w:r>
        <w:rPr>
          <w:rFonts w:ascii="Garamond" w:hAnsi="Garamond"/>
          <w:sz w:val="24"/>
          <w:szCs w:val="24"/>
        </w:rPr>
        <w:t>Remove all references of City of Newburyport, should be defined once in the first chapter and then from thereafter should be “the City”.</w:t>
      </w:r>
    </w:p>
    <w:p w14:paraId="09DE7F88" w14:textId="6527DA4C" w:rsidR="004B51D6" w:rsidRPr="008D5C5A" w:rsidRDefault="00EA2093" w:rsidP="008D5C5A">
      <w:pPr>
        <w:rPr>
          <w:rFonts w:ascii="Garamond" w:hAnsi="Garamond"/>
          <w:b/>
          <w:bCs/>
          <w:sz w:val="24"/>
          <w:szCs w:val="24"/>
        </w:rPr>
      </w:pPr>
      <w:r w:rsidRPr="008D5C5A">
        <w:rPr>
          <w:rFonts w:ascii="Garamond" w:hAnsi="Garamond"/>
          <w:b/>
          <w:bCs/>
          <w:sz w:val="24"/>
          <w:szCs w:val="24"/>
        </w:rPr>
        <w:t>Substantive</w:t>
      </w:r>
      <w:r w:rsidR="000328AE" w:rsidRPr="008D5C5A">
        <w:rPr>
          <w:rFonts w:ascii="Garamond" w:hAnsi="Garamond"/>
          <w:b/>
          <w:bCs/>
          <w:sz w:val="24"/>
          <w:szCs w:val="24"/>
        </w:rPr>
        <w:t xml:space="preserve"> Changes</w:t>
      </w:r>
      <w:r w:rsidRPr="008D5C5A">
        <w:rPr>
          <w:rFonts w:ascii="Garamond" w:hAnsi="Garamond"/>
          <w:b/>
          <w:bCs/>
          <w:sz w:val="24"/>
          <w:szCs w:val="24"/>
        </w:rPr>
        <w:t xml:space="preserve"> (Highlight in Yellow</w:t>
      </w:r>
      <w:r w:rsidR="003A6C06">
        <w:rPr>
          <w:rFonts w:ascii="Garamond" w:hAnsi="Garamond"/>
          <w:b/>
          <w:bCs/>
          <w:sz w:val="24"/>
          <w:szCs w:val="24"/>
        </w:rPr>
        <w:t xml:space="preserve"> with Comment</w:t>
      </w:r>
      <w:r w:rsidRPr="008D5C5A">
        <w:rPr>
          <w:rFonts w:ascii="Garamond" w:hAnsi="Garamond"/>
          <w:b/>
          <w:bCs/>
          <w:sz w:val="24"/>
          <w:szCs w:val="24"/>
        </w:rPr>
        <w:t>)</w:t>
      </w:r>
    </w:p>
    <w:p w14:paraId="56890B17" w14:textId="03BF845F" w:rsidR="000328AE" w:rsidRPr="003A6C06" w:rsidRDefault="33E45048" w:rsidP="33E45048">
      <w:pPr>
        <w:pStyle w:val="ListParagraph"/>
        <w:numPr>
          <w:ilvl w:val="0"/>
          <w:numId w:val="1"/>
        </w:numPr>
        <w:rPr>
          <w:rFonts w:eastAsiaTheme="minorEastAsia"/>
          <w:sz w:val="24"/>
          <w:szCs w:val="24"/>
        </w:rPr>
      </w:pPr>
      <w:r w:rsidRPr="33E45048">
        <w:rPr>
          <w:rFonts w:ascii="Garamond" w:hAnsi="Garamond"/>
          <w:sz w:val="24"/>
          <w:szCs w:val="24"/>
        </w:rPr>
        <w:t>Outdated/Antiquated References – Removal of items that may be deemed as irrelevant or outdated should be highlighted in Yellow with a comment if necessary. These items can be discussed with the larger committee for update/change.</w:t>
      </w:r>
    </w:p>
    <w:p w14:paraId="68AA8041" w14:textId="66AE150E" w:rsidR="33E45048" w:rsidRDefault="33E45048" w:rsidP="33E45048">
      <w:pPr>
        <w:pStyle w:val="ListParagraph"/>
        <w:numPr>
          <w:ilvl w:val="0"/>
          <w:numId w:val="1"/>
        </w:numPr>
        <w:rPr>
          <w:rFonts w:eastAsiaTheme="minorEastAsia"/>
          <w:sz w:val="24"/>
          <w:szCs w:val="24"/>
        </w:rPr>
      </w:pPr>
      <w:r w:rsidRPr="33E45048">
        <w:rPr>
          <w:rFonts w:ascii="Garamond" w:hAnsi="Garamond"/>
          <w:sz w:val="24"/>
          <w:szCs w:val="24"/>
        </w:rPr>
        <w:t xml:space="preserve">Reorganization </w:t>
      </w:r>
    </w:p>
    <w:p w14:paraId="152A0416" w14:textId="231FA010" w:rsidR="33E45048" w:rsidRDefault="33E45048" w:rsidP="33E45048">
      <w:pPr>
        <w:pStyle w:val="ListParagraph"/>
        <w:numPr>
          <w:ilvl w:val="1"/>
          <w:numId w:val="1"/>
        </w:numPr>
        <w:rPr>
          <w:rFonts w:eastAsiaTheme="minorEastAsia"/>
          <w:sz w:val="24"/>
          <w:szCs w:val="24"/>
        </w:rPr>
      </w:pPr>
      <w:r w:rsidRPr="33E45048">
        <w:rPr>
          <w:rFonts w:ascii="Garamond" w:hAnsi="Garamond"/>
          <w:sz w:val="24"/>
          <w:szCs w:val="24"/>
        </w:rPr>
        <w:t>Moving items to another Chapter/Section is something that can be suggested. For example, Dog licenses are under Parks, Recreation but should be under Chapter 3 for Animals.</w:t>
      </w:r>
    </w:p>
    <w:p w14:paraId="3CC9FA64" w14:textId="17F0687B" w:rsidR="33E45048" w:rsidRPr="004B62EA" w:rsidRDefault="33E45048" w:rsidP="33E45048">
      <w:pPr>
        <w:pStyle w:val="ListParagraph"/>
        <w:numPr>
          <w:ilvl w:val="0"/>
          <w:numId w:val="1"/>
        </w:numPr>
        <w:rPr>
          <w:sz w:val="24"/>
          <w:szCs w:val="24"/>
        </w:rPr>
      </w:pPr>
      <w:r w:rsidRPr="33E45048">
        <w:rPr>
          <w:rFonts w:ascii="Garamond" w:hAnsi="Garamond"/>
          <w:sz w:val="24"/>
          <w:szCs w:val="24"/>
        </w:rPr>
        <w:lastRenderedPageBreak/>
        <w:t>Updates or Recent Changes – These items will also need to be discussed by the group on a case by case basis. Collectively, the committee can make changes and incorporate them into the entire code for adoption by the City Council.</w:t>
      </w:r>
    </w:p>
    <w:p w14:paraId="7CE501D5" w14:textId="00FFD5E4" w:rsidR="004B62EA" w:rsidRDefault="004B62EA" w:rsidP="33E45048">
      <w:pPr>
        <w:pStyle w:val="ListParagraph"/>
        <w:numPr>
          <w:ilvl w:val="0"/>
          <w:numId w:val="1"/>
        </w:numPr>
        <w:rPr>
          <w:sz w:val="24"/>
          <w:szCs w:val="24"/>
        </w:rPr>
      </w:pPr>
      <w:r>
        <w:rPr>
          <w:rFonts w:ascii="Garamond" w:hAnsi="Garamond"/>
          <w:sz w:val="24"/>
          <w:szCs w:val="24"/>
        </w:rPr>
        <w:t>Definitions in code should be at the beginning of each Chapter and not embedded within the Code Chapter. Highlight these for discussion with the group.</w:t>
      </w:r>
    </w:p>
    <w:sectPr w:rsidR="004B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55A"/>
    <w:multiLevelType w:val="hybridMultilevel"/>
    <w:tmpl w:val="FFFFFFFF"/>
    <w:lvl w:ilvl="0" w:tplc="8F72B4C4">
      <w:start w:val="1"/>
      <w:numFmt w:val="decimal"/>
      <w:lvlText w:val="%1."/>
      <w:lvlJc w:val="left"/>
      <w:pPr>
        <w:ind w:left="360" w:hanging="360"/>
      </w:pPr>
    </w:lvl>
    <w:lvl w:ilvl="1" w:tplc="376E0738">
      <w:start w:val="1"/>
      <w:numFmt w:val="lowerLetter"/>
      <w:lvlText w:val="%2."/>
      <w:lvlJc w:val="left"/>
      <w:pPr>
        <w:ind w:left="1080" w:hanging="360"/>
      </w:pPr>
    </w:lvl>
    <w:lvl w:ilvl="2" w:tplc="36524DA0">
      <w:start w:val="1"/>
      <w:numFmt w:val="lowerRoman"/>
      <w:lvlText w:val="%3."/>
      <w:lvlJc w:val="right"/>
      <w:pPr>
        <w:ind w:left="1800" w:hanging="180"/>
      </w:pPr>
    </w:lvl>
    <w:lvl w:ilvl="3" w:tplc="6D6EB452">
      <w:start w:val="1"/>
      <w:numFmt w:val="decimal"/>
      <w:lvlText w:val="%4."/>
      <w:lvlJc w:val="left"/>
      <w:pPr>
        <w:ind w:left="2520" w:hanging="360"/>
      </w:pPr>
    </w:lvl>
    <w:lvl w:ilvl="4" w:tplc="5B400040">
      <w:start w:val="1"/>
      <w:numFmt w:val="lowerLetter"/>
      <w:lvlText w:val="%5."/>
      <w:lvlJc w:val="left"/>
      <w:pPr>
        <w:ind w:left="3240" w:hanging="360"/>
      </w:pPr>
    </w:lvl>
    <w:lvl w:ilvl="5" w:tplc="D1181846">
      <w:start w:val="1"/>
      <w:numFmt w:val="lowerRoman"/>
      <w:lvlText w:val="%6."/>
      <w:lvlJc w:val="right"/>
      <w:pPr>
        <w:ind w:left="3960" w:hanging="180"/>
      </w:pPr>
    </w:lvl>
    <w:lvl w:ilvl="6" w:tplc="944A4694">
      <w:start w:val="1"/>
      <w:numFmt w:val="decimal"/>
      <w:lvlText w:val="%7."/>
      <w:lvlJc w:val="left"/>
      <w:pPr>
        <w:ind w:left="4680" w:hanging="360"/>
      </w:pPr>
    </w:lvl>
    <w:lvl w:ilvl="7" w:tplc="EFC05428">
      <w:start w:val="1"/>
      <w:numFmt w:val="lowerLetter"/>
      <w:lvlText w:val="%8."/>
      <w:lvlJc w:val="left"/>
      <w:pPr>
        <w:ind w:left="5400" w:hanging="360"/>
      </w:pPr>
    </w:lvl>
    <w:lvl w:ilvl="8" w:tplc="00225F6E">
      <w:start w:val="1"/>
      <w:numFmt w:val="lowerRoman"/>
      <w:lvlText w:val="%9."/>
      <w:lvlJc w:val="right"/>
      <w:pPr>
        <w:ind w:left="6120" w:hanging="180"/>
      </w:pPr>
    </w:lvl>
  </w:abstractNum>
  <w:abstractNum w:abstractNumId="1" w15:restartNumberingAfterBreak="0">
    <w:nsid w:val="099542C7"/>
    <w:multiLevelType w:val="hybridMultilevel"/>
    <w:tmpl w:val="BEDA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1A15"/>
    <w:multiLevelType w:val="hybridMultilevel"/>
    <w:tmpl w:val="43324F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F6"/>
    <w:rsid w:val="000328AE"/>
    <w:rsid w:val="00117EC4"/>
    <w:rsid w:val="001C2874"/>
    <w:rsid w:val="001C6453"/>
    <w:rsid w:val="00200E08"/>
    <w:rsid w:val="00237471"/>
    <w:rsid w:val="003717F6"/>
    <w:rsid w:val="0039035D"/>
    <w:rsid w:val="003A6C06"/>
    <w:rsid w:val="003A72D6"/>
    <w:rsid w:val="00423D52"/>
    <w:rsid w:val="00436C7C"/>
    <w:rsid w:val="004421E6"/>
    <w:rsid w:val="004B51D6"/>
    <w:rsid w:val="004B62EA"/>
    <w:rsid w:val="004B71C6"/>
    <w:rsid w:val="00545932"/>
    <w:rsid w:val="0057036C"/>
    <w:rsid w:val="00596DB3"/>
    <w:rsid w:val="005D1647"/>
    <w:rsid w:val="00640F4A"/>
    <w:rsid w:val="00657EDE"/>
    <w:rsid w:val="006717EA"/>
    <w:rsid w:val="006C56AC"/>
    <w:rsid w:val="008D5C5A"/>
    <w:rsid w:val="00904077"/>
    <w:rsid w:val="00930ADE"/>
    <w:rsid w:val="00A436B7"/>
    <w:rsid w:val="00AD6298"/>
    <w:rsid w:val="00BB359A"/>
    <w:rsid w:val="00D1656E"/>
    <w:rsid w:val="00D4641D"/>
    <w:rsid w:val="00D94647"/>
    <w:rsid w:val="00EA2093"/>
    <w:rsid w:val="00ED7969"/>
    <w:rsid w:val="1DDE96FD"/>
    <w:rsid w:val="33E45048"/>
    <w:rsid w:val="36CC7CDF"/>
    <w:rsid w:val="4F5EAA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96EA"/>
  <w15:chartTrackingRefBased/>
  <w15:docId w15:val="{B36DDD41-7E66-4250-9184-AA4170A6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17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7F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7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3717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3717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
    <w:name w:val="Grid Table 4"/>
    <w:basedOn w:val="TableNormal"/>
    <w:uiPriority w:val="49"/>
    <w:rsid w:val="003717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3717F6"/>
    <w:pPr>
      <w:ind w:left="720"/>
      <w:contextualSpacing/>
    </w:pPr>
  </w:style>
  <w:style w:type="paragraph" w:styleId="BalloonText">
    <w:name w:val="Balloon Text"/>
    <w:basedOn w:val="Normal"/>
    <w:link w:val="BalloonTextChar"/>
    <w:uiPriority w:val="99"/>
    <w:semiHidden/>
    <w:unhideWhenUsed/>
    <w:rsid w:val="00545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49C4C-8808-44C2-917E-2B9389A7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Afroz Khan</dc:creator>
  <cp:keywords/>
  <dc:description/>
  <cp:lastModifiedBy>Afroz Khan</cp:lastModifiedBy>
  <cp:revision>2</cp:revision>
  <dcterms:created xsi:type="dcterms:W3CDTF">2021-03-29T00:42:00Z</dcterms:created>
  <dcterms:modified xsi:type="dcterms:W3CDTF">2021-03-29T00:42:00Z</dcterms:modified>
</cp:coreProperties>
</file>