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96E" w14:textId="3E4AD3D8" w:rsidR="0093638F" w:rsidRDefault="003E38F5">
      <w:pPr>
        <w:pStyle w:val="BodyText"/>
        <w:spacing w:before="60"/>
        <w:ind w:left="320"/>
      </w:pPr>
      <w:bookmarkStart w:id="0" w:name="_GoBack"/>
      <w:bookmarkEnd w:id="0"/>
      <w:r>
        <w:t>ENERGY ADVISORY</w:t>
      </w:r>
      <w:r w:rsidR="006575EE">
        <w:rPr>
          <w:spacing w:val="-9"/>
        </w:rPr>
        <w:t xml:space="preserve"> </w:t>
      </w:r>
      <w:r w:rsidR="006575EE">
        <w:t>COMMITTEE</w:t>
      </w:r>
      <w:r w:rsidR="006575EE">
        <w:rPr>
          <w:spacing w:val="-8"/>
        </w:rPr>
        <w:t xml:space="preserve"> </w:t>
      </w:r>
      <w:r w:rsidR="006575EE">
        <w:t>MEETING</w:t>
      </w:r>
      <w:r w:rsidR="006575EE">
        <w:rPr>
          <w:spacing w:val="-8"/>
        </w:rPr>
        <w:t xml:space="preserve"> </w:t>
      </w:r>
      <w:r w:rsidR="006575EE">
        <w:rPr>
          <w:spacing w:val="-2"/>
        </w:rPr>
        <w:t>REPORT</w:t>
      </w:r>
    </w:p>
    <w:p w14:paraId="1C0CC9B8" w14:textId="5DA86E9C" w:rsidR="0093638F" w:rsidRDefault="00F453CA">
      <w:pPr>
        <w:pStyle w:val="BodyText"/>
        <w:spacing w:before="5"/>
        <w:rPr>
          <w:sz w:val="12"/>
        </w:rPr>
      </w:pPr>
      <w:r>
        <w:rPr>
          <w:noProof/>
        </w:rPr>
        <mc:AlternateContent>
          <mc:Choice Requires="wps">
            <w:drawing>
              <wp:anchor distT="0" distB="0" distL="0" distR="0" simplePos="0" relativeHeight="251657728" behindDoc="1" locked="0" layoutInCell="1" allowOverlap="1" wp14:anchorId="7102503F" wp14:editId="16267D7A">
                <wp:simplePos x="0" y="0"/>
                <wp:positionH relativeFrom="page">
                  <wp:posOffset>561975</wp:posOffset>
                </wp:positionH>
                <wp:positionV relativeFrom="paragraph">
                  <wp:posOffset>24130</wp:posOffset>
                </wp:positionV>
                <wp:extent cx="6219190" cy="0"/>
                <wp:effectExtent l="0" t="0" r="0" b="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A9D7"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5pt,1.9pt" to="53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4rEQ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" strokeweight="1.5pt">
                <w10:wrap type="topAndBottom" anchorx="page"/>
              </v:line>
            </w:pict>
          </mc:Fallback>
        </mc:AlternateContent>
      </w:r>
    </w:p>
    <w:p w14:paraId="31A359A2" w14:textId="77777777" w:rsidR="00CE7FD1" w:rsidRDefault="00CE7FD1">
      <w:pPr>
        <w:pStyle w:val="BodyText"/>
        <w:spacing w:before="5"/>
        <w:rPr>
          <w:sz w:val="12"/>
        </w:rPr>
      </w:pPr>
    </w:p>
    <w:tbl>
      <w:tblPr>
        <w:tblStyle w:val="TableGrid"/>
        <w:tblW w:w="0" w:type="auto"/>
        <w:tblInd w:w="378" w:type="dxa"/>
        <w:tblLook w:val="04A0" w:firstRow="1" w:lastRow="0" w:firstColumn="1" w:lastColumn="0" w:noHBand="0" w:noVBand="1"/>
      </w:tblPr>
      <w:tblGrid>
        <w:gridCol w:w="1763"/>
        <w:gridCol w:w="3637"/>
        <w:gridCol w:w="1890"/>
        <w:gridCol w:w="2213"/>
      </w:tblGrid>
      <w:tr w:rsidR="00614D00" w14:paraId="44E3B2EB" w14:textId="77777777" w:rsidTr="00567BB7">
        <w:tc>
          <w:tcPr>
            <w:tcW w:w="1763" w:type="dxa"/>
            <w:tcBorders>
              <w:top w:val="nil"/>
              <w:left w:val="nil"/>
              <w:bottom w:val="nil"/>
              <w:right w:val="nil"/>
            </w:tcBorders>
          </w:tcPr>
          <w:p w14:paraId="62B261C2" w14:textId="77777777" w:rsidR="00614D00" w:rsidRPr="00614D00" w:rsidRDefault="00614D00">
            <w:pPr>
              <w:pStyle w:val="BodyText"/>
              <w:spacing w:before="10"/>
              <w:rPr>
                <w:sz w:val="24"/>
                <w:szCs w:val="24"/>
              </w:rPr>
            </w:pPr>
            <w:r>
              <w:rPr>
                <w:sz w:val="24"/>
                <w:szCs w:val="24"/>
              </w:rPr>
              <w:t>COMMITTEE:</w:t>
            </w:r>
          </w:p>
        </w:tc>
        <w:tc>
          <w:tcPr>
            <w:tcW w:w="3637" w:type="dxa"/>
            <w:tcBorders>
              <w:top w:val="nil"/>
              <w:left w:val="nil"/>
              <w:bottom w:val="single" w:sz="4" w:space="0" w:color="auto"/>
              <w:right w:val="nil"/>
            </w:tcBorders>
          </w:tcPr>
          <w:p w14:paraId="705D3B5F" w14:textId="03B58E32" w:rsidR="00614D00" w:rsidRDefault="003E38F5">
            <w:pPr>
              <w:pStyle w:val="BodyText"/>
              <w:spacing w:before="10"/>
              <w:rPr>
                <w:sz w:val="21"/>
              </w:rPr>
            </w:pPr>
            <w:r>
              <w:rPr>
                <w:sz w:val="21"/>
              </w:rPr>
              <w:t>Energy Advisory Committee</w:t>
            </w:r>
          </w:p>
        </w:tc>
        <w:tc>
          <w:tcPr>
            <w:tcW w:w="1890" w:type="dxa"/>
            <w:tcBorders>
              <w:top w:val="nil"/>
              <w:left w:val="nil"/>
              <w:bottom w:val="nil"/>
              <w:right w:val="nil"/>
            </w:tcBorders>
          </w:tcPr>
          <w:p w14:paraId="43BB9AEE" w14:textId="77777777" w:rsidR="00614D00" w:rsidRPr="00614D00" w:rsidRDefault="00614D00">
            <w:pPr>
              <w:pStyle w:val="BodyText"/>
              <w:spacing w:before="10"/>
              <w:rPr>
                <w:sz w:val="24"/>
                <w:szCs w:val="24"/>
              </w:rPr>
            </w:pPr>
            <w:r>
              <w:rPr>
                <w:sz w:val="24"/>
                <w:szCs w:val="24"/>
              </w:rPr>
              <w:t>DATE &amp; TIME:</w:t>
            </w:r>
          </w:p>
        </w:tc>
        <w:tc>
          <w:tcPr>
            <w:tcW w:w="2213" w:type="dxa"/>
            <w:tcBorders>
              <w:top w:val="nil"/>
              <w:left w:val="nil"/>
              <w:bottom w:val="single" w:sz="4" w:space="0" w:color="auto"/>
              <w:right w:val="nil"/>
            </w:tcBorders>
          </w:tcPr>
          <w:p w14:paraId="0F337A33" w14:textId="39AA0FDB" w:rsidR="00614D00" w:rsidRDefault="00CB1330">
            <w:pPr>
              <w:pStyle w:val="BodyText"/>
              <w:spacing w:before="10"/>
              <w:rPr>
                <w:sz w:val="21"/>
              </w:rPr>
            </w:pPr>
            <w:r>
              <w:rPr>
                <w:sz w:val="21"/>
              </w:rPr>
              <w:t>March 30, 2023</w:t>
            </w:r>
          </w:p>
        </w:tc>
      </w:tr>
      <w:tr w:rsidR="00614D00" w14:paraId="4A302DCC" w14:textId="77777777" w:rsidTr="00567BB7">
        <w:tc>
          <w:tcPr>
            <w:tcW w:w="1763" w:type="dxa"/>
            <w:tcBorders>
              <w:top w:val="nil"/>
              <w:left w:val="nil"/>
              <w:bottom w:val="nil"/>
              <w:right w:val="nil"/>
            </w:tcBorders>
          </w:tcPr>
          <w:p w14:paraId="6E53CAA5" w14:textId="77777777" w:rsidR="00614D00" w:rsidRPr="00614D00" w:rsidRDefault="00614D00">
            <w:pPr>
              <w:pStyle w:val="BodyText"/>
              <w:spacing w:before="10"/>
              <w:rPr>
                <w:sz w:val="24"/>
                <w:szCs w:val="24"/>
              </w:rPr>
            </w:pPr>
            <w:r>
              <w:rPr>
                <w:sz w:val="24"/>
                <w:szCs w:val="24"/>
              </w:rPr>
              <w:t>LOCATION:</w:t>
            </w:r>
          </w:p>
        </w:tc>
        <w:tc>
          <w:tcPr>
            <w:tcW w:w="3637" w:type="dxa"/>
            <w:tcBorders>
              <w:top w:val="single" w:sz="4" w:space="0" w:color="auto"/>
              <w:left w:val="nil"/>
              <w:bottom w:val="single" w:sz="4" w:space="0" w:color="auto"/>
              <w:right w:val="nil"/>
            </w:tcBorders>
          </w:tcPr>
          <w:p w14:paraId="1F91FDA6" w14:textId="508559DC" w:rsidR="00614D00" w:rsidRDefault="00CB1330">
            <w:pPr>
              <w:pStyle w:val="BodyText"/>
              <w:spacing w:before="10"/>
              <w:rPr>
                <w:sz w:val="21"/>
              </w:rPr>
            </w:pPr>
            <w:r>
              <w:rPr>
                <w:sz w:val="21"/>
              </w:rPr>
              <w:t>Mayor’s 2</w:t>
            </w:r>
            <w:r w:rsidRPr="00CB1330">
              <w:rPr>
                <w:sz w:val="21"/>
                <w:vertAlign w:val="superscript"/>
              </w:rPr>
              <w:t>nd</w:t>
            </w:r>
            <w:r>
              <w:rPr>
                <w:sz w:val="21"/>
              </w:rPr>
              <w:t xml:space="preserve"> floor Conference Room</w:t>
            </w:r>
          </w:p>
        </w:tc>
        <w:tc>
          <w:tcPr>
            <w:tcW w:w="1890" w:type="dxa"/>
            <w:tcBorders>
              <w:top w:val="nil"/>
              <w:left w:val="nil"/>
              <w:bottom w:val="nil"/>
              <w:right w:val="nil"/>
            </w:tcBorders>
          </w:tcPr>
          <w:p w14:paraId="3EBC9DC0" w14:textId="77777777" w:rsidR="00614D00" w:rsidRPr="00614D00" w:rsidRDefault="00614D00">
            <w:pPr>
              <w:pStyle w:val="BodyText"/>
              <w:spacing w:before="10"/>
              <w:rPr>
                <w:sz w:val="24"/>
                <w:szCs w:val="24"/>
              </w:rPr>
            </w:pPr>
            <w:r>
              <w:rPr>
                <w:sz w:val="24"/>
                <w:szCs w:val="24"/>
              </w:rPr>
              <w:t>RECORDER:</w:t>
            </w:r>
          </w:p>
        </w:tc>
        <w:tc>
          <w:tcPr>
            <w:tcW w:w="2213" w:type="dxa"/>
            <w:tcBorders>
              <w:top w:val="single" w:sz="4" w:space="0" w:color="auto"/>
              <w:left w:val="nil"/>
              <w:bottom w:val="single" w:sz="4" w:space="0" w:color="auto"/>
              <w:right w:val="nil"/>
            </w:tcBorders>
          </w:tcPr>
          <w:p w14:paraId="64FC9D6C" w14:textId="672C9099" w:rsidR="00614D00" w:rsidRDefault="00CB1330">
            <w:pPr>
              <w:pStyle w:val="BodyText"/>
              <w:spacing w:before="10"/>
              <w:rPr>
                <w:sz w:val="21"/>
              </w:rPr>
            </w:pPr>
            <w:r>
              <w:rPr>
                <w:sz w:val="21"/>
              </w:rPr>
              <w:t>Michael Strauss</w:t>
            </w:r>
          </w:p>
        </w:tc>
      </w:tr>
    </w:tbl>
    <w:p w14:paraId="3559C4B9" w14:textId="77777777" w:rsidR="0093638F" w:rsidRDefault="0093638F">
      <w:pPr>
        <w:pStyle w:val="BodyText"/>
        <w:spacing w:before="10"/>
        <w:rPr>
          <w:sz w:val="21"/>
        </w:rPr>
      </w:pPr>
    </w:p>
    <w:p w14:paraId="4FDCD056" w14:textId="77777777" w:rsidR="0093638F" w:rsidRDefault="0093638F">
      <w:pPr>
        <w:pStyle w:val="BodyText"/>
        <w:rPr>
          <w:sz w:val="24"/>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2700"/>
        <w:gridCol w:w="1820"/>
      </w:tblGrid>
      <w:tr w:rsidR="0093638F" w14:paraId="6510F540" w14:textId="77777777" w:rsidTr="00567BB7">
        <w:trPr>
          <w:trHeight w:val="292"/>
        </w:trPr>
        <w:tc>
          <w:tcPr>
            <w:tcW w:w="4998" w:type="dxa"/>
          </w:tcPr>
          <w:p w14:paraId="653158FE" w14:textId="77777777" w:rsidR="0093638F" w:rsidRDefault="006575EE">
            <w:pPr>
              <w:pStyle w:val="TableParagraph"/>
              <w:spacing w:line="272" w:lineRule="exact"/>
              <w:ind w:left="1266"/>
              <w:rPr>
                <w:b/>
                <w:i/>
                <w:sz w:val="24"/>
              </w:rPr>
            </w:pPr>
            <w:r>
              <w:rPr>
                <w:b/>
                <w:i/>
                <w:sz w:val="24"/>
              </w:rPr>
              <w:t>COMMITTEE</w:t>
            </w:r>
            <w:r>
              <w:rPr>
                <w:b/>
                <w:i/>
                <w:spacing w:val="-3"/>
                <w:sz w:val="24"/>
              </w:rPr>
              <w:t xml:space="preserve"> </w:t>
            </w:r>
            <w:r>
              <w:rPr>
                <w:b/>
                <w:i/>
                <w:spacing w:val="-2"/>
                <w:sz w:val="24"/>
              </w:rPr>
              <w:t>MEMBERS</w:t>
            </w:r>
          </w:p>
        </w:tc>
        <w:tc>
          <w:tcPr>
            <w:tcW w:w="2700" w:type="dxa"/>
          </w:tcPr>
          <w:p w14:paraId="312FFBBD" w14:textId="77777777" w:rsidR="0093638F" w:rsidRDefault="006575EE">
            <w:pPr>
              <w:pStyle w:val="TableParagraph"/>
              <w:spacing w:line="272" w:lineRule="exact"/>
              <w:ind w:left="158"/>
              <w:rPr>
                <w:b/>
                <w:i/>
                <w:sz w:val="24"/>
              </w:rPr>
            </w:pPr>
            <w:r>
              <w:rPr>
                <w:b/>
                <w:i/>
                <w:spacing w:val="-2"/>
                <w:sz w:val="24"/>
              </w:rPr>
              <w:t>PRESENT/ABSENT?</w:t>
            </w:r>
          </w:p>
        </w:tc>
        <w:tc>
          <w:tcPr>
            <w:tcW w:w="1820" w:type="dxa"/>
          </w:tcPr>
          <w:p w14:paraId="18D957FB" w14:textId="77777777" w:rsidR="0093638F" w:rsidRDefault="006575EE">
            <w:pPr>
              <w:pStyle w:val="TableParagraph"/>
              <w:spacing w:line="272" w:lineRule="exact"/>
              <w:ind w:left="249"/>
              <w:rPr>
                <w:b/>
                <w:i/>
                <w:sz w:val="24"/>
              </w:rPr>
            </w:pPr>
            <w:r>
              <w:rPr>
                <w:b/>
                <w:i/>
                <w:spacing w:val="-2"/>
                <w:sz w:val="24"/>
              </w:rPr>
              <w:t>REMOTE?</w:t>
            </w:r>
          </w:p>
        </w:tc>
      </w:tr>
      <w:tr w:rsidR="0093638F" w14:paraId="640161E6" w14:textId="77777777" w:rsidTr="00567BB7">
        <w:trPr>
          <w:trHeight w:val="321"/>
        </w:trPr>
        <w:tc>
          <w:tcPr>
            <w:tcW w:w="4998" w:type="dxa"/>
          </w:tcPr>
          <w:p w14:paraId="569D7383" w14:textId="0F038EE2" w:rsidR="0093638F" w:rsidRDefault="00367311">
            <w:pPr>
              <w:pStyle w:val="TableParagraph"/>
              <w:rPr>
                <w:sz w:val="24"/>
              </w:rPr>
            </w:pPr>
            <w:r>
              <w:rPr>
                <w:sz w:val="24"/>
              </w:rPr>
              <w:t>Michael Strauss</w:t>
            </w:r>
          </w:p>
        </w:tc>
        <w:tc>
          <w:tcPr>
            <w:tcW w:w="2700" w:type="dxa"/>
          </w:tcPr>
          <w:p w14:paraId="71654B91" w14:textId="1A5208CD" w:rsidR="0093638F" w:rsidRDefault="0062654B">
            <w:pPr>
              <w:pStyle w:val="TableParagraph"/>
              <w:rPr>
                <w:sz w:val="24"/>
              </w:rPr>
            </w:pPr>
            <w:r>
              <w:rPr>
                <w:sz w:val="24"/>
              </w:rPr>
              <w:t>P</w:t>
            </w:r>
          </w:p>
        </w:tc>
        <w:tc>
          <w:tcPr>
            <w:tcW w:w="1820" w:type="dxa"/>
          </w:tcPr>
          <w:p w14:paraId="5610F7DB" w14:textId="77777777" w:rsidR="0093638F" w:rsidRDefault="0093638F">
            <w:pPr>
              <w:pStyle w:val="TableParagraph"/>
              <w:rPr>
                <w:sz w:val="24"/>
              </w:rPr>
            </w:pPr>
          </w:p>
        </w:tc>
      </w:tr>
      <w:tr w:rsidR="0093638F" w14:paraId="57B977D5" w14:textId="77777777" w:rsidTr="00567BB7">
        <w:trPr>
          <w:trHeight w:val="321"/>
        </w:trPr>
        <w:tc>
          <w:tcPr>
            <w:tcW w:w="4998" w:type="dxa"/>
          </w:tcPr>
          <w:p w14:paraId="2415B07D" w14:textId="5986F710" w:rsidR="0093638F" w:rsidRDefault="00367311">
            <w:pPr>
              <w:pStyle w:val="TableParagraph"/>
              <w:rPr>
                <w:sz w:val="24"/>
              </w:rPr>
            </w:pPr>
            <w:r>
              <w:rPr>
                <w:sz w:val="24"/>
              </w:rPr>
              <w:t>Molly Ettenborough</w:t>
            </w:r>
          </w:p>
        </w:tc>
        <w:tc>
          <w:tcPr>
            <w:tcW w:w="2700" w:type="dxa"/>
          </w:tcPr>
          <w:p w14:paraId="6F206F84" w14:textId="49B1AA5E" w:rsidR="0093638F" w:rsidRDefault="0062654B">
            <w:pPr>
              <w:pStyle w:val="TableParagraph"/>
              <w:rPr>
                <w:sz w:val="24"/>
              </w:rPr>
            </w:pPr>
            <w:r>
              <w:rPr>
                <w:sz w:val="24"/>
              </w:rPr>
              <w:t>P</w:t>
            </w:r>
          </w:p>
        </w:tc>
        <w:tc>
          <w:tcPr>
            <w:tcW w:w="1820" w:type="dxa"/>
          </w:tcPr>
          <w:p w14:paraId="4A631F6D" w14:textId="77777777" w:rsidR="0093638F" w:rsidRDefault="0093638F">
            <w:pPr>
              <w:pStyle w:val="TableParagraph"/>
              <w:rPr>
                <w:sz w:val="24"/>
              </w:rPr>
            </w:pPr>
          </w:p>
        </w:tc>
      </w:tr>
      <w:tr w:rsidR="0093638F" w14:paraId="3F026A34" w14:textId="77777777" w:rsidTr="00567BB7">
        <w:trPr>
          <w:trHeight w:val="321"/>
        </w:trPr>
        <w:tc>
          <w:tcPr>
            <w:tcW w:w="4998" w:type="dxa"/>
          </w:tcPr>
          <w:p w14:paraId="0136FB0D" w14:textId="7CBE252F" w:rsidR="003E38F5" w:rsidRDefault="00367311">
            <w:pPr>
              <w:pStyle w:val="TableParagraph"/>
              <w:rPr>
                <w:sz w:val="24"/>
              </w:rPr>
            </w:pPr>
            <w:r>
              <w:rPr>
                <w:sz w:val="24"/>
              </w:rPr>
              <w:t>William Clary</w:t>
            </w:r>
          </w:p>
        </w:tc>
        <w:tc>
          <w:tcPr>
            <w:tcW w:w="2700" w:type="dxa"/>
          </w:tcPr>
          <w:p w14:paraId="3549DEF1" w14:textId="3FE1C7A4" w:rsidR="0093638F" w:rsidRDefault="0062654B">
            <w:pPr>
              <w:pStyle w:val="TableParagraph"/>
              <w:rPr>
                <w:sz w:val="24"/>
              </w:rPr>
            </w:pPr>
            <w:r>
              <w:rPr>
                <w:sz w:val="24"/>
              </w:rPr>
              <w:t>P</w:t>
            </w:r>
          </w:p>
        </w:tc>
        <w:tc>
          <w:tcPr>
            <w:tcW w:w="1820" w:type="dxa"/>
          </w:tcPr>
          <w:p w14:paraId="6DFA8663" w14:textId="77777777" w:rsidR="0093638F" w:rsidRDefault="0093638F">
            <w:pPr>
              <w:pStyle w:val="TableParagraph"/>
              <w:rPr>
                <w:sz w:val="24"/>
              </w:rPr>
            </w:pPr>
          </w:p>
        </w:tc>
      </w:tr>
      <w:tr w:rsidR="00367311" w14:paraId="6E3B2A2C" w14:textId="77777777" w:rsidTr="00567BB7">
        <w:trPr>
          <w:trHeight w:val="321"/>
        </w:trPr>
        <w:tc>
          <w:tcPr>
            <w:tcW w:w="4998" w:type="dxa"/>
          </w:tcPr>
          <w:p w14:paraId="2CF2CBC5" w14:textId="40435235" w:rsidR="00367311" w:rsidRDefault="00367311">
            <w:pPr>
              <w:pStyle w:val="TableParagraph"/>
              <w:rPr>
                <w:sz w:val="24"/>
              </w:rPr>
            </w:pPr>
            <w:r>
              <w:rPr>
                <w:sz w:val="24"/>
              </w:rPr>
              <w:t xml:space="preserve">Manfred </w:t>
            </w:r>
            <w:proofErr w:type="spellStart"/>
            <w:r>
              <w:rPr>
                <w:sz w:val="24"/>
              </w:rPr>
              <w:t>Raschke</w:t>
            </w:r>
            <w:proofErr w:type="spellEnd"/>
          </w:p>
        </w:tc>
        <w:tc>
          <w:tcPr>
            <w:tcW w:w="2700" w:type="dxa"/>
          </w:tcPr>
          <w:p w14:paraId="798010FD" w14:textId="53B4C335" w:rsidR="00367311" w:rsidRDefault="0062654B">
            <w:pPr>
              <w:pStyle w:val="TableParagraph"/>
              <w:rPr>
                <w:sz w:val="24"/>
              </w:rPr>
            </w:pPr>
            <w:r>
              <w:rPr>
                <w:sz w:val="24"/>
              </w:rPr>
              <w:t>P</w:t>
            </w:r>
          </w:p>
        </w:tc>
        <w:tc>
          <w:tcPr>
            <w:tcW w:w="1820" w:type="dxa"/>
          </w:tcPr>
          <w:p w14:paraId="4118C49A" w14:textId="77777777" w:rsidR="00367311" w:rsidRDefault="00367311">
            <w:pPr>
              <w:pStyle w:val="TableParagraph"/>
              <w:rPr>
                <w:sz w:val="24"/>
              </w:rPr>
            </w:pPr>
          </w:p>
        </w:tc>
      </w:tr>
      <w:tr w:rsidR="00367311" w14:paraId="21C0AFDA" w14:textId="77777777" w:rsidTr="00567BB7">
        <w:trPr>
          <w:trHeight w:val="321"/>
        </w:trPr>
        <w:tc>
          <w:tcPr>
            <w:tcW w:w="4998" w:type="dxa"/>
          </w:tcPr>
          <w:p w14:paraId="6ECDDF34" w14:textId="538E02AE" w:rsidR="00367311" w:rsidRDefault="00367311">
            <w:pPr>
              <w:pStyle w:val="TableParagraph"/>
              <w:rPr>
                <w:sz w:val="24"/>
              </w:rPr>
            </w:pPr>
            <w:r>
              <w:rPr>
                <w:sz w:val="24"/>
              </w:rPr>
              <w:t>Samantha Burke</w:t>
            </w:r>
          </w:p>
        </w:tc>
        <w:tc>
          <w:tcPr>
            <w:tcW w:w="2700" w:type="dxa"/>
          </w:tcPr>
          <w:p w14:paraId="6AF8CC98" w14:textId="58B19FEB" w:rsidR="00367311" w:rsidRDefault="0062654B">
            <w:pPr>
              <w:pStyle w:val="TableParagraph"/>
              <w:rPr>
                <w:sz w:val="24"/>
              </w:rPr>
            </w:pPr>
            <w:r>
              <w:rPr>
                <w:sz w:val="24"/>
              </w:rPr>
              <w:t>P</w:t>
            </w:r>
          </w:p>
        </w:tc>
        <w:tc>
          <w:tcPr>
            <w:tcW w:w="1820" w:type="dxa"/>
          </w:tcPr>
          <w:p w14:paraId="65CDC30D" w14:textId="77777777" w:rsidR="00367311" w:rsidRDefault="00367311">
            <w:pPr>
              <w:pStyle w:val="TableParagraph"/>
              <w:rPr>
                <w:sz w:val="24"/>
              </w:rPr>
            </w:pPr>
          </w:p>
        </w:tc>
      </w:tr>
      <w:tr w:rsidR="00367311" w14:paraId="29759FA6" w14:textId="77777777" w:rsidTr="00567BB7">
        <w:trPr>
          <w:trHeight w:val="321"/>
        </w:trPr>
        <w:tc>
          <w:tcPr>
            <w:tcW w:w="4998" w:type="dxa"/>
          </w:tcPr>
          <w:p w14:paraId="782707C6" w14:textId="0ECCE4BA" w:rsidR="00367311" w:rsidRDefault="00367311">
            <w:pPr>
              <w:pStyle w:val="TableParagraph"/>
              <w:rPr>
                <w:sz w:val="24"/>
              </w:rPr>
            </w:pPr>
            <w:r>
              <w:rPr>
                <w:sz w:val="24"/>
              </w:rPr>
              <w:t>Wendy Wilkerson</w:t>
            </w:r>
          </w:p>
        </w:tc>
        <w:tc>
          <w:tcPr>
            <w:tcW w:w="2700" w:type="dxa"/>
          </w:tcPr>
          <w:p w14:paraId="0C621F02" w14:textId="3150E824" w:rsidR="00367311" w:rsidRDefault="0062654B">
            <w:pPr>
              <w:pStyle w:val="TableParagraph"/>
              <w:rPr>
                <w:sz w:val="24"/>
              </w:rPr>
            </w:pPr>
            <w:r>
              <w:rPr>
                <w:sz w:val="24"/>
              </w:rPr>
              <w:t>P</w:t>
            </w:r>
          </w:p>
        </w:tc>
        <w:tc>
          <w:tcPr>
            <w:tcW w:w="1820" w:type="dxa"/>
          </w:tcPr>
          <w:p w14:paraId="2B4C4EBE" w14:textId="77777777" w:rsidR="00367311" w:rsidRDefault="00367311">
            <w:pPr>
              <w:pStyle w:val="TableParagraph"/>
              <w:rPr>
                <w:sz w:val="24"/>
              </w:rPr>
            </w:pPr>
          </w:p>
        </w:tc>
      </w:tr>
      <w:tr w:rsidR="00367311" w14:paraId="632C9BBC" w14:textId="77777777" w:rsidTr="00567BB7">
        <w:trPr>
          <w:trHeight w:val="321"/>
        </w:trPr>
        <w:tc>
          <w:tcPr>
            <w:tcW w:w="4998" w:type="dxa"/>
          </w:tcPr>
          <w:p w14:paraId="207A67DE" w14:textId="29E40714" w:rsidR="00367311" w:rsidRDefault="00367311">
            <w:pPr>
              <w:pStyle w:val="TableParagraph"/>
              <w:rPr>
                <w:sz w:val="24"/>
              </w:rPr>
            </w:pPr>
            <w:r>
              <w:rPr>
                <w:sz w:val="24"/>
              </w:rPr>
              <w:t>Don Walters</w:t>
            </w:r>
          </w:p>
        </w:tc>
        <w:tc>
          <w:tcPr>
            <w:tcW w:w="2700" w:type="dxa"/>
          </w:tcPr>
          <w:p w14:paraId="12EF6AD8" w14:textId="07E68AE4" w:rsidR="00367311" w:rsidRDefault="0062654B">
            <w:pPr>
              <w:pStyle w:val="TableParagraph"/>
              <w:rPr>
                <w:sz w:val="24"/>
              </w:rPr>
            </w:pPr>
            <w:r>
              <w:rPr>
                <w:sz w:val="24"/>
              </w:rPr>
              <w:t>P</w:t>
            </w:r>
          </w:p>
        </w:tc>
        <w:tc>
          <w:tcPr>
            <w:tcW w:w="1820" w:type="dxa"/>
          </w:tcPr>
          <w:p w14:paraId="05E2A6FB" w14:textId="77777777" w:rsidR="00367311" w:rsidRDefault="00367311">
            <w:pPr>
              <w:pStyle w:val="TableParagraph"/>
              <w:rPr>
                <w:sz w:val="24"/>
              </w:rPr>
            </w:pPr>
          </w:p>
        </w:tc>
      </w:tr>
      <w:tr w:rsidR="00367311" w14:paraId="37AC0045" w14:textId="77777777" w:rsidTr="00567BB7">
        <w:trPr>
          <w:trHeight w:val="321"/>
        </w:trPr>
        <w:tc>
          <w:tcPr>
            <w:tcW w:w="4998" w:type="dxa"/>
          </w:tcPr>
          <w:p w14:paraId="0AB70649" w14:textId="292B77A2" w:rsidR="00367311" w:rsidRDefault="00367311">
            <w:pPr>
              <w:pStyle w:val="TableParagraph"/>
              <w:rPr>
                <w:sz w:val="24"/>
              </w:rPr>
            </w:pPr>
            <w:r>
              <w:rPr>
                <w:sz w:val="24"/>
              </w:rPr>
              <w:t xml:space="preserve">Mary </w:t>
            </w:r>
            <w:proofErr w:type="spellStart"/>
            <w:r>
              <w:rPr>
                <w:sz w:val="24"/>
              </w:rPr>
              <w:t>Delai</w:t>
            </w:r>
            <w:proofErr w:type="spellEnd"/>
          </w:p>
        </w:tc>
        <w:tc>
          <w:tcPr>
            <w:tcW w:w="2700" w:type="dxa"/>
          </w:tcPr>
          <w:p w14:paraId="2A78C21D" w14:textId="7D9310EF" w:rsidR="00367311" w:rsidRDefault="0062654B">
            <w:pPr>
              <w:pStyle w:val="TableParagraph"/>
              <w:rPr>
                <w:sz w:val="24"/>
              </w:rPr>
            </w:pPr>
            <w:r>
              <w:rPr>
                <w:sz w:val="24"/>
              </w:rPr>
              <w:t>P</w:t>
            </w:r>
          </w:p>
        </w:tc>
        <w:tc>
          <w:tcPr>
            <w:tcW w:w="1820" w:type="dxa"/>
          </w:tcPr>
          <w:p w14:paraId="75BB90B9" w14:textId="0DFD981D" w:rsidR="00367311" w:rsidRDefault="0062654B">
            <w:pPr>
              <w:pStyle w:val="TableParagraph"/>
              <w:rPr>
                <w:sz w:val="24"/>
              </w:rPr>
            </w:pPr>
            <w:r>
              <w:rPr>
                <w:sz w:val="24"/>
              </w:rPr>
              <w:t>R</w:t>
            </w:r>
          </w:p>
        </w:tc>
      </w:tr>
      <w:tr w:rsidR="00367311" w14:paraId="5FD6E99B" w14:textId="77777777" w:rsidTr="00567BB7">
        <w:trPr>
          <w:trHeight w:val="321"/>
        </w:trPr>
        <w:tc>
          <w:tcPr>
            <w:tcW w:w="4998" w:type="dxa"/>
          </w:tcPr>
          <w:p w14:paraId="5C9322AB" w14:textId="513D4389" w:rsidR="00367311" w:rsidRDefault="00367311">
            <w:pPr>
              <w:pStyle w:val="TableParagraph"/>
              <w:rPr>
                <w:sz w:val="24"/>
              </w:rPr>
            </w:pPr>
            <w:r>
              <w:rPr>
                <w:sz w:val="24"/>
              </w:rPr>
              <w:t xml:space="preserve">Jeremy </w:t>
            </w:r>
            <w:proofErr w:type="spellStart"/>
            <w:r>
              <w:rPr>
                <w:sz w:val="24"/>
              </w:rPr>
              <w:t>Pymento</w:t>
            </w:r>
            <w:proofErr w:type="spellEnd"/>
          </w:p>
        </w:tc>
        <w:tc>
          <w:tcPr>
            <w:tcW w:w="2700" w:type="dxa"/>
          </w:tcPr>
          <w:p w14:paraId="13A5DE87" w14:textId="54C14A9B" w:rsidR="00367311" w:rsidRDefault="0062654B">
            <w:pPr>
              <w:pStyle w:val="TableParagraph"/>
              <w:rPr>
                <w:sz w:val="24"/>
              </w:rPr>
            </w:pPr>
            <w:r>
              <w:rPr>
                <w:sz w:val="24"/>
              </w:rPr>
              <w:t>P</w:t>
            </w:r>
          </w:p>
        </w:tc>
        <w:tc>
          <w:tcPr>
            <w:tcW w:w="1820" w:type="dxa"/>
          </w:tcPr>
          <w:p w14:paraId="5D56A3CD" w14:textId="77777777" w:rsidR="00367311" w:rsidRDefault="00367311">
            <w:pPr>
              <w:pStyle w:val="TableParagraph"/>
              <w:rPr>
                <w:sz w:val="24"/>
              </w:rPr>
            </w:pPr>
          </w:p>
        </w:tc>
      </w:tr>
      <w:tr w:rsidR="00367311" w14:paraId="4478710C" w14:textId="77777777" w:rsidTr="00567BB7">
        <w:trPr>
          <w:trHeight w:val="321"/>
        </w:trPr>
        <w:tc>
          <w:tcPr>
            <w:tcW w:w="4998" w:type="dxa"/>
          </w:tcPr>
          <w:p w14:paraId="52CCBBFE" w14:textId="0079D224" w:rsidR="00367311" w:rsidRDefault="00367311">
            <w:pPr>
              <w:pStyle w:val="TableParagraph"/>
              <w:rPr>
                <w:sz w:val="24"/>
              </w:rPr>
            </w:pPr>
            <w:r>
              <w:rPr>
                <w:sz w:val="24"/>
              </w:rPr>
              <w:t>Chris Davis</w:t>
            </w:r>
          </w:p>
        </w:tc>
        <w:tc>
          <w:tcPr>
            <w:tcW w:w="2700" w:type="dxa"/>
          </w:tcPr>
          <w:p w14:paraId="1354F391" w14:textId="1657ED62" w:rsidR="00367311" w:rsidRDefault="0062654B">
            <w:pPr>
              <w:pStyle w:val="TableParagraph"/>
              <w:rPr>
                <w:sz w:val="24"/>
              </w:rPr>
            </w:pPr>
            <w:r>
              <w:rPr>
                <w:sz w:val="24"/>
              </w:rPr>
              <w:t>A</w:t>
            </w:r>
          </w:p>
        </w:tc>
        <w:tc>
          <w:tcPr>
            <w:tcW w:w="1820" w:type="dxa"/>
          </w:tcPr>
          <w:p w14:paraId="3D10B18E" w14:textId="77777777" w:rsidR="00367311" w:rsidRDefault="00367311">
            <w:pPr>
              <w:pStyle w:val="TableParagraph"/>
              <w:rPr>
                <w:sz w:val="24"/>
              </w:rPr>
            </w:pPr>
          </w:p>
        </w:tc>
      </w:tr>
      <w:tr w:rsidR="00367311" w14:paraId="1F31C29A" w14:textId="77777777" w:rsidTr="00567BB7">
        <w:trPr>
          <w:trHeight w:val="321"/>
        </w:trPr>
        <w:tc>
          <w:tcPr>
            <w:tcW w:w="4998" w:type="dxa"/>
          </w:tcPr>
          <w:p w14:paraId="5B95B8BE" w14:textId="11479E2E" w:rsidR="00367311" w:rsidRDefault="00367311">
            <w:pPr>
              <w:pStyle w:val="TableParagraph"/>
              <w:rPr>
                <w:sz w:val="24"/>
              </w:rPr>
            </w:pPr>
            <w:r>
              <w:rPr>
                <w:sz w:val="24"/>
              </w:rPr>
              <w:t>Claire Behrens</w:t>
            </w:r>
          </w:p>
        </w:tc>
        <w:tc>
          <w:tcPr>
            <w:tcW w:w="2700" w:type="dxa"/>
          </w:tcPr>
          <w:p w14:paraId="19DD33A2" w14:textId="463A909C" w:rsidR="00367311" w:rsidRDefault="0062654B">
            <w:pPr>
              <w:pStyle w:val="TableParagraph"/>
              <w:rPr>
                <w:sz w:val="24"/>
              </w:rPr>
            </w:pPr>
            <w:r>
              <w:rPr>
                <w:sz w:val="24"/>
              </w:rPr>
              <w:t>A</w:t>
            </w:r>
          </w:p>
        </w:tc>
        <w:tc>
          <w:tcPr>
            <w:tcW w:w="1820" w:type="dxa"/>
          </w:tcPr>
          <w:p w14:paraId="561282D3" w14:textId="77777777" w:rsidR="00367311" w:rsidRDefault="00367311">
            <w:pPr>
              <w:pStyle w:val="TableParagraph"/>
              <w:rPr>
                <w:sz w:val="24"/>
              </w:rPr>
            </w:pPr>
          </w:p>
        </w:tc>
      </w:tr>
      <w:tr w:rsidR="00367311" w14:paraId="48D77D5E" w14:textId="77777777" w:rsidTr="00567BB7">
        <w:trPr>
          <w:trHeight w:val="321"/>
        </w:trPr>
        <w:tc>
          <w:tcPr>
            <w:tcW w:w="4998" w:type="dxa"/>
          </w:tcPr>
          <w:p w14:paraId="4D62DAD6" w14:textId="0908121E" w:rsidR="00367311" w:rsidRDefault="00367311">
            <w:pPr>
              <w:pStyle w:val="TableParagraph"/>
              <w:rPr>
                <w:sz w:val="24"/>
              </w:rPr>
            </w:pPr>
            <w:r>
              <w:rPr>
                <w:sz w:val="24"/>
              </w:rPr>
              <w:t>Phil Smith</w:t>
            </w:r>
          </w:p>
        </w:tc>
        <w:tc>
          <w:tcPr>
            <w:tcW w:w="2700" w:type="dxa"/>
          </w:tcPr>
          <w:p w14:paraId="647224C6" w14:textId="4FCA7980" w:rsidR="00367311" w:rsidRDefault="0062654B">
            <w:pPr>
              <w:pStyle w:val="TableParagraph"/>
              <w:rPr>
                <w:sz w:val="24"/>
              </w:rPr>
            </w:pPr>
            <w:r>
              <w:rPr>
                <w:sz w:val="24"/>
              </w:rPr>
              <w:t>P</w:t>
            </w:r>
          </w:p>
        </w:tc>
        <w:tc>
          <w:tcPr>
            <w:tcW w:w="1820" w:type="dxa"/>
          </w:tcPr>
          <w:p w14:paraId="09F9A264" w14:textId="25A4129F" w:rsidR="00367311" w:rsidRDefault="0062654B">
            <w:pPr>
              <w:pStyle w:val="TableParagraph"/>
              <w:rPr>
                <w:sz w:val="24"/>
              </w:rPr>
            </w:pPr>
            <w:r>
              <w:rPr>
                <w:sz w:val="24"/>
              </w:rPr>
              <w:t>R</w:t>
            </w:r>
          </w:p>
        </w:tc>
      </w:tr>
    </w:tbl>
    <w:p w14:paraId="5B2D0E53" w14:textId="77777777" w:rsidR="005E1F84" w:rsidRDefault="005E1F84">
      <w:pPr>
        <w:pStyle w:val="BodyText"/>
        <w:rPr>
          <w:sz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9"/>
        <w:gridCol w:w="4510"/>
      </w:tblGrid>
      <w:tr w:rsidR="0093638F" w14:paraId="578198C9" w14:textId="77777777">
        <w:trPr>
          <w:trHeight w:val="294"/>
        </w:trPr>
        <w:tc>
          <w:tcPr>
            <w:tcW w:w="5009" w:type="dxa"/>
          </w:tcPr>
          <w:p w14:paraId="6A8B7904" w14:textId="77777777" w:rsidR="0093638F" w:rsidRDefault="006575EE">
            <w:pPr>
              <w:pStyle w:val="TableParagraph"/>
              <w:spacing w:line="275" w:lineRule="exact"/>
              <w:ind w:left="1403"/>
              <w:rPr>
                <w:b/>
                <w:i/>
                <w:sz w:val="24"/>
              </w:rPr>
            </w:pPr>
            <w:r>
              <w:rPr>
                <w:b/>
                <w:i/>
                <w:sz w:val="24"/>
              </w:rPr>
              <w:t>OTHER</w:t>
            </w:r>
            <w:r>
              <w:rPr>
                <w:b/>
                <w:i/>
                <w:spacing w:val="-2"/>
                <w:sz w:val="24"/>
              </w:rPr>
              <w:t xml:space="preserve"> ATTENDEES</w:t>
            </w:r>
          </w:p>
        </w:tc>
        <w:tc>
          <w:tcPr>
            <w:tcW w:w="4510" w:type="dxa"/>
          </w:tcPr>
          <w:p w14:paraId="03AE79C1" w14:textId="77777777" w:rsidR="0093638F" w:rsidRDefault="006575EE">
            <w:pPr>
              <w:pStyle w:val="TableParagraph"/>
              <w:spacing w:line="275" w:lineRule="exact"/>
              <w:ind w:left="1693" w:right="1686"/>
              <w:jc w:val="center"/>
              <w:rPr>
                <w:b/>
                <w:i/>
                <w:sz w:val="24"/>
              </w:rPr>
            </w:pPr>
            <w:r>
              <w:rPr>
                <w:b/>
                <w:i/>
                <w:spacing w:val="-2"/>
                <w:sz w:val="24"/>
              </w:rPr>
              <w:t>ADDRESS</w:t>
            </w:r>
          </w:p>
        </w:tc>
      </w:tr>
      <w:tr w:rsidR="0093638F" w14:paraId="0CF1A5E8" w14:textId="77777777">
        <w:trPr>
          <w:trHeight w:val="321"/>
        </w:trPr>
        <w:tc>
          <w:tcPr>
            <w:tcW w:w="5009" w:type="dxa"/>
          </w:tcPr>
          <w:p w14:paraId="21CF2F4A" w14:textId="62A0C28A" w:rsidR="0093638F" w:rsidRDefault="0062654B">
            <w:pPr>
              <w:pStyle w:val="TableParagraph"/>
              <w:rPr>
                <w:sz w:val="24"/>
              </w:rPr>
            </w:pPr>
            <w:r>
              <w:rPr>
                <w:sz w:val="24"/>
              </w:rPr>
              <w:t>Greg Earls</w:t>
            </w:r>
          </w:p>
        </w:tc>
        <w:tc>
          <w:tcPr>
            <w:tcW w:w="4510" w:type="dxa"/>
          </w:tcPr>
          <w:p w14:paraId="2455DC50" w14:textId="274DFB43" w:rsidR="0093638F" w:rsidRDefault="0062654B">
            <w:pPr>
              <w:pStyle w:val="TableParagraph"/>
              <w:rPr>
                <w:sz w:val="24"/>
              </w:rPr>
            </w:pPr>
            <w:r>
              <w:rPr>
                <w:sz w:val="24"/>
              </w:rPr>
              <w:t>Newburyport</w:t>
            </w:r>
          </w:p>
        </w:tc>
      </w:tr>
      <w:tr w:rsidR="0093638F" w14:paraId="733243A3" w14:textId="77777777">
        <w:trPr>
          <w:trHeight w:val="318"/>
        </w:trPr>
        <w:tc>
          <w:tcPr>
            <w:tcW w:w="5009" w:type="dxa"/>
          </w:tcPr>
          <w:p w14:paraId="2D767BA4" w14:textId="3AD57B74" w:rsidR="0093638F" w:rsidRDefault="0062654B">
            <w:pPr>
              <w:pStyle w:val="TableParagraph"/>
              <w:rPr>
                <w:sz w:val="24"/>
              </w:rPr>
            </w:pPr>
            <w:r>
              <w:rPr>
                <w:sz w:val="24"/>
              </w:rPr>
              <w:t>Dennis Morrel</w:t>
            </w:r>
          </w:p>
        </w:tc>
        <w:tc>
          <w:tcPr>
            <w:tcW w:w="4510" w:type="dxa"/>
          </w:tcPr>
          <w:p w14:paraId="35720B8F" w14:textId="5887499A" w:rsidR="0093638F" w:rsidRDefault="0062654B">
            <w:pPr>
              <w:pStyle w:val="TableParagraph"/>
              <w:rPr>
                <w:sz w:val="24"/>
              </w:rPr>
            </w:pPr>
            <w:r>
              <w:rPr>
                <w:sz w:val="24"/>
              </w:rPr>
              <w:t>Newburyport</w:t>
            </w:r>
          </w:p>
        </w:tc>
      </w:tr>
      <w:tr w:rsidR="0093638F" w14:paraId="236F4508" w14:textId="77777777">
        <w:trPr>
          <w:trHeight w:val="321"/>
        </w:trPr>
        <w:tc>
          <w:tcPr>
            <w:tcW w:w="5009" w:type="dxa"/>
          </w:tcPr>
          <w:p w14:paraId="6A59CA7C" w14:textId="2977B92B" w:rsidR="0093638F" w:rsidRDefault="0062654B">
            <w:pPr>
              <w:pStyle w:val="TableParagraph"/>
              <w:rPr>
                <w:sz w:val="24"/>
              </w:rPr>
            </w:pPr>
            <w:r>
              <w:rPr>
                <w:sz w:val="24"/>
              </w:rPr>
              <w:t>John Snell</w:t>
            </w:r>
          </w:p>
        </w:tc>
        <w:tc>
          <w:tcPr>
            <w:tcW w:w="4510" w:type="dxa"/>
          </w:tcPr>
          <w:p w14:paraId="11B9E412" w14:textId="0C4E918F" w:rsidR="0093638F" w:rsidRDefault="0062654B">
            <w:pPr>
              <w:pStyle w:val="TableParagraph"/>
              <w:rPr>
                <w:sz w:val="24"/>
              </w:rPr>
            </w:pPr>
            <w:r>
              <w:rPr>
                <w:sz w:val="24"/>
              </w:rPr>
              <w:t>MVPC</w:t>
            </w:r>
          </w:p>
        </w:tc>
      </w:tr>
      <w:tr w:rsidR="0093638F" w14:paraId="52CA8B7C" w14:textId="77777777">
        <w:trPr>
          <w:trHeight w:val="326"/>
        </w:trPr>
        <w:tc>
          <w:tcPr>
            <w:tcW w:w="5009" w:type="dxa"/>
          </w:tcPr>
          <w:p w14:paraId="7EB80A1C" w14:textId="77777777" w:rsidR="0093638F" w:rsidRDefault="0093638F">
            <w:pPr>
              <w:pStyle w:val="TableParagraph"/>
              <w:rPr>
                <w:sz w:val="24"/>
              </w:rPr>
            </w:pPr>
          </w:p>
        </w:tc>
        <w:tc>
          <w:tcPr>
            <w:tcW w:w="4510" w:type="dxa"/>
          </w:tcPr>
          <w:p w14:paraId="7568DBF0" w14:textId="77777777" w:rsidR="0093638F" w:rsidRDefault="0093638F">
            <w:pPr>
              <w:pStyle w:val="TableParagraph"/>
              <w:rPr>
                <w:sz w:val="24"/>
              </w:rPr>
            </w:pPr>
          </w:p>
        </w:tc>
      </w:tr>
      <w:tr w:rsidR="0093638F" w14:paraId="7017B33B" w14:textId="77777777">
        <w:trPr>
          <w:trHeight w:val="318"/>
        </w:trPr>
        <w:tc>
          <w:tcPr>
            <w:tcW w:w="5009" w:type="dxa"/>
          </w:tcPr>
          <w:p w14:paraId="3F55F348" w14:textId="77777777" w:rsidR="0093638F" w:rsidRDefault="0093638F">
            <w:pPr>
              <w:pStyle w:val="TableParagraph"/>
              <w:rPr>
                <w:sz w:val="24"/>
              </w:rPr>
            </w:pPr>
          </w:p>
        </w:tc>
        <w:tc>
          <w:tcPr>
            <w:tcW w:w="4510" w:type="dxa"/>
          </w:tcPr>
          <w:p w14:paraId="5F62E5D3" w14:textId="77777777" w:rsidR="0093638F" w:rsidRDefault="0093638F">
            <w:pPr>
              <w:pStyle w:val="TableParagraph"/>
              <w:rPr>
                <w:sz w:val="24"/>
              </w:rPr>
            </w:pPr>
          </w:p>
        </w:tc>
      </w:tr>
      <w:tr w:rsidR="0093638F" w14:paraId="4AA8B56C" w14:textId="77777777">
        <w:trPr>
          <w:trHeight w:val="321"/>
        </w:trPr>
        <w:tc>
          <w:tcPr>
            <w:tcW w:w="5009" w:type="dxa"/>
          </w:tcPr>
          <w:p w14:paraId="5843C7A2" w14:textId="77777777" w:rsidR="0093638F" w:rsidRDefault="0093638F">
            <w:pPr>
              <w:pStyle w:val="TableParagraph"/>
              <w:rPr>
                <w:sz w:val="24"/>
              </w:rPr>
            </w:pPr>
          </w:p>
        </w:tc>
        <w:tc>
          <w:tcPr>
            <w:tcW w:w="4510" w:type="dxa"/>
          </w:tcPr>
          <w:p w14:paraId="3B4E6C97" w14:textId="77777777" w:rsidR="0093638F" w:rsidRDefault="0093638F">
            <w:pPr>
              <w:pStyle w:val="TableParagraph"/>
              <w:rPr>
                <w:sz w:val="24"/>
              </w:rPr>
            </w:pPr>
          </w:p>
        </w:tc>
      </w:tr>
      <w:tr w:rsidR="0093638F" w14:paraId="4ED889A1" w14:textId="77777777">
        <w:trPr>
          <w:trHeight w:val="323"/>
        </w:trPr>
        <w:tc>
          <w:tcPr>
            <w:tcW w:w="5009" w:type="dxa"/>
          </w:tcPr>
          <w:p w14:paraId="4544BE89" w14:textId="77777777" w:rsidR="0093638F" w:rsidRDefault="0093638F">
            <w:pPr>
              <w:pStyle w:val="TableParagraph"/>
              <w:rPr>
                <w:sz w:val="24"/>
              </w:rPr>
            </w:pPr>
          </w:p>
        </w:tc>
        <w:tc>
          <w:tcPr>
            <w:tcW w:w="4510" w:type="dxa"/>
          </w:tcPr>
          <w:p w14:paraId="794E607D" w14:textId="77777777" w:rsidR="0093638F" w:rsidRDefault="0093638F">
            <w:pPr>
              <w:pStyle w:val="TableParagraph"/>
              <w:rPr>
                <w:sz w:val="24"/>
              </w:rPr>
            </w:pPr>
          </w:p>
        </w:tc>
      </w:tr>
      <w:tr w:rsidR="0093638F" w14:paraId="0F1D26E6" w14:textId="77777777">
        <w:trPr>
          <w:trHeight w:val="321"/>
        </w:trPr>
        <w:tc>
          <w:tcPr>
            <w:tcW w:w="5009" w:type="dxa"/>
          </w:tcPr>
          <w:p w14:paraId="6424C6D1" w14:textId="77777777" w:rsidR="0093638F" w:rsidRDefault="0093638F">
            <w:pPr>
              <w:pStyle w:val="TableParagraph"/>
              <w:rPr>
                <w:sz w:val="24"/>
              </w:rPr>
            </w:pPr>
          </w:p>
        </w:tc>
        <w:tc>
          <w:tcPr>
            <w:tcW w:w="4510" w:type="dxa"/>
          </w:tcPr>
          <w:p w14:paraId="71EC3E41" w14:textId="77777777" w:rsidR="0093638F" w:rsidRDefault="0093638F">
            <w:pPr>
              <w:pStyle w:val="TableParagraph"/>
              <w:rPr>
                <w:sz w:val="24"/>
              </w:rPr>
            </w:pPr>
          </w:p>
        </w:tc>
      </w:tr>
      <w:tr w:rsidR="0093638F" w14:paraId="2533524F" w14:textId="77777777">
        <w:trPr>
          <w:trHeight w:val="321"/>
        </w:trPr>
        <w:tc>
          <w:tcPr>
            <w:tcW w:w="5009" w:type="dxa"/>
          </w:tcPr>
          <w:p w14:paraId="6C69EC97" w14:textId="77777777" w:rsidR="0093638F" w:rsidRDefault="0093638F">
            <w:pPr>
              <w:pStyle w:val="TableParagraph"/>
              <w:rPr>
                <w:sz w:val="24"/>
              </w:rPr>
            </w:pPr>
          </w:p>
        </w:tc>
        <w:tc>
          <w:tcPr>
            <w:tcW w:w="4510" w:type="dxa"/>
          </w:tcPr>
          <w:p w14:paraId="36A64F0C" w14:textId="77777777" w:rsidR="0093638F" w:rsidRDefault="0093638F">
            <w:pPr>
              <w:pStyle w:val="TableParagraph"/>
              <w:rPr>
                <w:sz w:val="24"/>
              </w:rPr>
            </w:pPr>
          </w:p>
        </w:tc>
      </w:tr>
      <w:tr w:rsidR="0093638F" w14:paraId="6779FEF1" w14:textId="77777777">
        <w:trPr>
          <w:trHeight w:val="323"/>
        </w:trPr>
        <w:tc>
          <w:tcPr>
            <w:tcW w:w="5009" w:type="dxa"/>
          </w:tcPr>
          <w:p w14:paraId="3CE95719" w14:textId="77777777" w:rsidR="0093638F" w:rsidRDefault="0093638F">
            <w:pPr>
              <w:pStyle w:val="TableParagraph"/>
              <w:rPr>
                <w:sz w:val="24"/>
              </w:rPr>
            </w:pPr>
          </w:p>
        </w:tc>
        <w:tc>
          <w:tcPr>
            <w:tcW w:w="4510" w:type="dxa"/>
          </w:tcPr>
          <w:p w14:paraId="5EBF2EF9" w14:textId="77777777" w:rsidR="0093638F" w:rsidRDefault="0093638F">
            <w:pPr>
              <w:pStyle w:val="TableParagraph"/>
              <w:rPr>
                <w:sz w:val="24"/>
              </w:rPr>
            </w:pPr>
          </w:p>
        </w:tc>
      </w:tr>
      <w:tr w:rsidR="0093638F" w14:paraId="465A2004" w14:textId="77777777">
        <w:trPr>
          <w:trHeight w:val="321"/>
        </w:trPr>
        <w:tc>
          <w:tcPr>
            <w:tcW w:w="5009" w:type="dxa"/>
          </w:tcPr>
          <w:p w14:paraId="4E364063" w14:textId="77777777" w:rsidR="0093638F" w:rsidRDefault="0093638F">
            <w:pPr>
              <w:pStyle w:val="TableParagraph"/>
              <w:rPr>
                <w:sz w:val="24"/>
              </w:rPr>
            </w:pPr>
          </w:p>
        </w:tc>
        <w:tc>
          <w:tcPr>
            <w:tcW w:w="4510" w:type="dxa"/>
          </w:tcPr>
          <w:p w14:paraId="1250F1D4" w14:textId="77777777" w:rsidR="0093638F" w:rsidRDefault="0093638F">
            <w:pPr>
              <w:pStyle w:val="TableParagraph"/>
              <w:rPr>
                <w:sz w:val="24"/>
              </w:rPr>
            </w:pPr>
          </w:p>
        </w:tc>
      </w:tr>
      <w:tr w:rsidR="0093638F" w14:paraId="089AAED8" w14:textId="77777777">
        <w:trPr>
          <w:trHeight w:val="321"/>
        </w:trPr>
        <w:tc>
          <w:tcPr>
            <w:tcW w:w="5009" w:type="dxa"/>
          </w:tcPr>
          <w:p w14:paraId="0A8B16AB" w14:textId="77777777" w:rsidR="0093638F" w:rsidRDefault="0093638F">
            <w:pPr>
              <w:pStyle w:val="TableParagraph"/>
              <w:rPr>
                <w:sz w:val="24"/>
              </w:rPr>
            </w:pPr>
          </w:p>
        </w:tc>
        <w:tc>
          <w:tcPr>
            <w:tcW w:w="4510" w:type="dxa"/>
          </w:tcPr>
          <w:p w14:paraId="14F1501A" w14:textId="77777777" w:rsidR="0093638F" w:rsidRDefault="0093638F">
            <w:pPr>
              <w:pStyle w:val="TableParagraph"/>
              <w:rPr>
                <w:sz w:val="24"/>
              </w:rPr>
            </w:pPr>
          </w:p>
        </w:tc>
      </w:tr>
    </w:tbl>
    <w:p w14:paraId="31324D31" w14:textId="77777777" w:rsidR="0093638F" w:rsidRDefault="0093638F">
      <w:pPr>
        <w:pStyle w:val="BodyText"/>
        <w:rPr>
          <w:sz w:val="26"/>
        </w:rPr>
      </w:pPr>
    </w:p>
    <w:p w14:paraId="71C81788" w14:textId="77777777" w:rsidR="0093638F" w:rsidRDefault="0093638F">
      <w:pPr>
        <w:pStyle w:val="BodyText"/>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9"/>
        <w:gridCol w:w="4510"/>
      </w:tblGrid>
      <w:tr w:rsidR="0093638F" w14:paraId="7C912CF7" w14:textId="77777777">
        <w:trPr>
          <w:trHeight w:val="253"/>
        </w:trPr>
        <w:tc>
          <w:tcPr>
            <w:tcW w:w="5009" w:type="dxa"/>
          </w:tcPr>
          <w:p w14:paraId="243BA83B" w14:textId="77777777" w:rsidR="0093638F" w:rsidRDefault="006575EE">
            <w:pPr>
              <w:pStyle w:val="TableParagraph"/>
              <w:spacing w:line="234" w:lineRule="exact"/>
              <w:ind w:left="1653"/>
              <w:rPr>
                <w:b/>
                <w:i/>
                <w:sz w:val="24"/>
              </w:rPr>
            </w:pPr>
            <w:r>
              <w:rPr>
                <w:b/>
                <w:i/>
                <w:sz w:val="24"/>
              </w:rPr>
              <w:t>AGENDA</w:t>
            </w:r>
            <w:r>
              <w:rPr>
                <w:b/>
                <w:i/>
                <w:spacing w:val="-3"/>
                <w:sz w:val="24"/>
              </w:rPr>
              <w:t xml:space="preserve"> </w:t>
            </w:r>
            <w:r>
              <w:rPr>
                <w:b/>
                <w:i/>
                <w:spacing w:val="-2"/>
                <w:sz w:val="24"/>
              </w:rPr>
              <w:t>ITEMS</w:t>
            </w:r>
          </w:p>
        </w:tc>
        <w:tc>
          <w:tcPr>
            <w:tcW w:w="4510" w:type="dxa"/>
          </w:tcPr>
          <w:p w14:paraId="1FB1A199" w14:textId="77777777" w:rsidR="0093638F" w:rsidRDefault="006575EE">
            <w:pPr>
              <w:pStyle w:val="TableParagraph"/>
              <w:spacing w:line="234" w:lineRule="exact"/>
              <w:ind w:left="1422"/>
              <w:rPr>
                <w:b/>
                <w:i/>
                <w:sz w:val="24"/>
              </w:rPr>
            </w:pPr>
            <w:r>
              <w:rPr>
                <w:b/>
                <w:i/>
                <w:sz w:val="24"/>
              </w:rPr>
              <w:t>ACTION</w:t>
            </w:r>
            <w:r>
              <w:rPr>
                <w:b/>
                <w:i/>
                <w:spacing w:val="-3"/>
                <w:sz w:val="24"/>
              </w:rPr>
              <w:t xml:space="preserve"> </w:t>
            </w:r>
            <w:r>
              <w:rPr>
                <w:b/>
                <w:i/>
                <w:spacing w:val="-2"/>
                <w:sz w:val="24"/>
              </w:rPr>
              <w:t>TAKEN</w:t>
            </w:r>
          </w:p>
        </w:tc>
      </w:tr>
      <w:tr w:rsidR="0062654B" w14:paraId="2F30C21E" w14:textId="77777777">
        <w:trPr>
          <w:trHeight w:val="249"/>
        </w:trPr>
        <w:tc>
          <w:tcPr>
            <w:tcW w:w="5009" w:type="dxa"/>
          </w:tcPr>
          <w:p w14:paraId="6876FD62" w14:textId="6984D81D" w:rsidR="0062654B" w:rsidRDefault="0062654B" w:rsidP="0062654B">
            <w:pPr>
              <w:pStyle w:val="TableParagraph"/>
              <w:rPr>
                <w:sz w:val="18"/>
              </w:rPr>
            </w:pPr>
            <w:r>
              <w:t>Opt-In Code Discussion with Greg Earls</w:t>
            </w:r>
          </w:p>
        </w:tc>
        <w:tc>
          <w:tcPr>
            <w:tcW w:w="4510" w:type="dxa"/>
          </w:tcPr>
          <w:p w14:paraId="37E389F8" w14:textId="7E009B23" w:rsidR="0062654B" w:rsidRDefault="00C21B0D" w:rsidP="0062654B">
            <w:pPr>
              <w:pStyle w:val="TableParagraph"/>
              <w:rPr>
                <w:sz w:val="18"/>
              </w:rPr>
            </w:pPr>
            <w:r>
              <w:rPr>
                <w:sz w:val="18"/>
              </w:rPr>
              <w:t>Building Dept. not taking stand.  Doesn’t see opt in code a problem.  Building Sub Com should work out a plan to propose this to the city</w:t>
            </w:r>
          </w:p>
        </w:tc>
      </w:tr>
      <w:tr w:rsidR="0062654B" w14:paraId="03F85DF8" w14:textId="77777777">
        <w:trPr>
          <w:trHeight w:val="253"/>
        </w:trPr>
        <w:tc>
          <w:tcPr>
            <w:tcW w:w="5009" w:type="dxa"/>
          </w:tcPr>
          <w:p w14:paraId="7C93B643" w14:textId="2863CB6B" w:rsidR="0062654B" w:rsidRDefault="0062654B" w:rsidP="0062654B">
            <w:pPr>
              <w:pStyle w:val="TableParagraph"/>
              <w:rPr>
                <w:sz w:val="18"/>
              </w:rPr>
            </w:pPr>
            <w:r>
              <w:t>Net 0 Plan John Snell</w:t>
            </w:r>
          </w:p>
        </w:tc>
        <w:tc>
          <w:tcPr>
            <w:tcW w:w="4510" w:type="dxa"/>
          </w:tcPr>
          <w:p w14:paraId="5DDC6611" w14:textId="77777777" w:rsidR="0062654B" w:rsidRDefault="00C21B0D" w:rsidP="0062654B">
            <w:pPr>
              <w:pStyle w:val="TableParagraph"/>
              <w:rPr>
                <w:sz w:val="18"/>
              </w:rPr>
            </w:pPr>
            <w:r>
              <w:rPr>
                <w:sz w:val="18"/>
              </w:rPr>
              <w:t xml:space="preserve">Electrification will need 2-3 times the power running through the grid as now.  </w:t>
            </w:r>
            <w:proofErr w:type="spellStart"/>
            <w:proofErr w:type="gramStart"/>
            <w:r w:rsidR="009916B1">
              <w:rPr>
                <w:sz w:val="18"/>
              </w:rPr>
              <w:t>Plan:procure</w:t>
            </w:r>
            <w:proofErr w:type="spellEnd"/>
            <w:proofErr w:type="gramEnd"/>
            <w:r w:rsidR="009916B1">
              <w:rPr>
                <w:sz w:val="18"/>
              </w:rPr>
              <w:t xml:space="preserve"> renewable energy and chip away at what buildings use.  Need a holistic approach to buildings, including grants and incentives.  ESCOS could be helpful.</w:t>
            </w:r>
          </w:p>
          <w:p w14:paraId="13ECB9DE" w14:textId="77777777" w:rsidR="009916B1" w:rsidRDefault="009916B1" w:rsidP="0062654B">
            <w:pPr>
              <w:pStyle w:val="TableParagraph"/>
              <w:rPr>
                <w:sz w:val="18"/>
              </w:rPr>
            </w:pPr>
            <w:r>
              <w:rPr>
                <w:sz w:val="18"/>
              </w:rPr>
              <w:t>EV charger roadmap: MVPC EV charger tool</w:t>
            </w:r>
          </w:p>
          <w:p w14:paraId="49C41F7A" w14:textId="2444DB23" w:rsidR="009916B1" w:rsidRDefault="009916B1" w:rsidP="0062654B">
            <w:pPr>
              <w:pStyle w:val="TableParagraph"/>
              <w:rPr>
                <w:sz w:val="18"/>
              </w:rPr>
            </w:pPr>
            <w:r>
              <w:rPr>
                <w:sz w:val="18"/>
              </w:rPr>
              <w:t>We’ll need ~192 charging stations by 2030</w:t>
            </w:r>
          </w:p>
        </w:tc>
      </w:tr>
      <w:tr w:rsidR="0062654B" w14:paraId="093C29F0" w14:textId="77777777">
        <w:trPr>
          <w:trHeight w:val="254"/>
        </w:trPr>
        <w:tc>
          <w:tcPr>
            <w:tcW w:w="5009" w:type="dxa"/>
          </w:tcPr>
          <w:p w14:paraId="6A39B3FB" w14:textId="177F9D84" w:rsidR="0062654B" w:rsidRDefault="0062654B" w:rsidP="0062654B">
            <w:pPr>
              <w:pStyle w:val="TableParagraph"/>
              <w:rPr>
                <w:sz w:val="18"/>
              </w:rPr>
            </w:pPr>
            <w:r>
              <w:lastRenderedPageBreak/>
              <w:t>Sub Coms</w:t>
            </w:r>
          </w:p>
        </w:tc>
        <w:tc>
          <w:tcPr>
            <w:tcW w:w="4510" w:type="dxa"/>
          </w:tcPr>
          <w:p w14:paraId="499C31C5" w14:textId="77777777" w:rsidR="0062654B" w:rsidRDefault="009916B1" w:rsidP="0062654B">
            <w:pPr>
              <w:pStyle w:val="TableParagraph"/>
              <w:rPr>
                <w:sz w:val="18"/>
              </w:rPr>
            </w:pPr>
            <w:proofErr w:type="spellStart"/>
            <w:r>
              <w:rPr>
                <w:sz w:val="18"/>
              </w:rPr>
              <w:t>MassEnergize</w:t>
            </w:r>
            <w:proofErr w:type="spellEnd"/>
            <w:r>
              <w:rPr>
                <w:sz w:val="18"/>
              </w:rPr>
              <w:t xml:space="preserve"> ready to go!</w:t>
            </w:r>
          </w:p>
          <w:p w14:paraId="42BA8990" w14:textId="65C1D1BD" w:rsidR="009916B1" w:rsidRDefault="009916B1" w:rsidP="0062654B">
            <w:pPr>
              <w:pStyle w:val="TableParagraph"/>
              <w:rPr>
                <w:sz w:val="18"/>
              </w:rPr>
            </w:pPr>
            <w:r>
              <w:rPr>
                <w:sz w:val="18"/>
              </w:rPr>
              <w:t xml:space="preserve">We have $5000 for proposal development on DOE’s </w:t>
            </w:r>
            <w:proofErr w:type="spellStart"/>
            <w:r>
              <w:rPr>
                <w:sz w:val="18"/>
              </w:rPr>
              <w:t>BuildingsUp</w:t>
            </w:r>
            <w:proofErr w:type="spellEnd"/>
            <w:r>
              <w:rPr>
                <w:sz w:val="18"/>
              </w:rPr>
              <w:t xml:space="preserve"> program.  Our proposal “Electrifying Older Homes with Care”</w:t>
            </w:r>
          </w:p>
        </w:tc>
      </w:tr>
      <w:tr w:rsidR="0062654B" w14:paraId="73CB2A6B" w14:textId="77777777">
        <w:trPr>
          <w:trHeight w:val="251"/>
        </w:trPr>
        <w:tc>
          <w:tcPr>
            <w:tcW w:w="5009" w:type="dxa"/>
          </w:tcPr>
          <w:p w14:paraId="6421A0BF" w14:textId="15CA9C09" w:rsidR="0062654B" w:rsidRDefault="0062654B" w:rsidP="0062654B">
            <w:pPr>
              <w:pStyle w:val="TableParagraph"/>
              <w:rPr>
                <w:sz w:val="18"/>
              </w:rPr>
            </w:pPr>
            <w:r>
              <w:t>City Hall Update</w:t>
            </w:r>
          </w:p>
        </w:tc>
        <w:tc>
          <w:tcPr>
            <w:tcW w:w="4510" w:type="dxa"/>
          </w:tcPr>
          <w:p w14:paraId="7920A0F1" w14:textId="77777777" w:rsidR="0062654B" w:rsidRDefault="0062654B" w:rsidP="0062654B">
            <w:pPr>
              <w:pStyle w:val="TableParagraph"/>
              <w:rPr>
                <w:sz w:val="18"/>
              </w:rPr>
            </w:pPr>
          </w:p>
        </w:tc>
      </w:tr>
      <w:tr w:rsidR="0062654B" w14:paraId="6ED7ADD1" w14:textId="77777777">
        <w:trPr>
          <w:trHeight w:val="254"/>
        </w:trPr>
        <w:tc>
          <w:tcPr>
            <w:tcW w:w="5009" w:type="dxa"/>
          </w:tcPr>
          <w:p w14:paraId="5427483A" w14:textId="18D0B8E6" w:rsidR="0062654B" w:rsidRDefault="0062654B" w:rsidP="0062654B">
            <w:pPr>
              <w:pStyle w:val="TableParagraph"/>
              <w:rPr>
                <w:sz w:val="18"/>
              </w:rPr>
            </w:pPr>
            <w:r>
              <w:t>Other Business</w:t>
            </w:r>
          </w:p>
        </w:tc>
        <w:tc>
          <w:tcPr>
            <w:tcW w:w="4510" w:type="dxa"/>
          </w:tcPr>
          <w:p w14:paraId="020AAE91" w14:textId="77777777" w:rsidR="0062654B" w:rsidRDefault="0062654B" w:rsidP="0062654B">
            <w:pPr>
              <w:pStyle w:val="TableParagraph"/>
              <w:rPr>
                <w:sz w:val="18"/>
              </w:rPr>
            </w:pPr>
          </w:p>
        </w:tc>
      </w:tr>
      <w:tr w:rsidR="0062654B" w14:paraId="45ADCAD1" w14:textId="77777777">
        <w:trPr>
          <w:trHeight w:val="275"/>
        </w:trPr>
        <w:tc>
          <w:tcPr>
            <w:tcW w:w="5009" w:type="dxa"/>
          </w:tcPr>
          <w:p w14:paraId="63340D28" w14:textId="77777777" w:rsidR="0062654B" w:rsidRDefault="0062654B" w:rsidP="0062654B">
            <w:pPr>
              <w:pStyle w:val="TableParagraph"/>
              <w:rPr>
                <w:sz w:val="20"/>
              </w:rPr>
            </w:pPr>
          </w:p>
        </w:tc>
        <w:tc>
          <w:tcPr>
            <w:tcW w:w="4510" w:type="dxa"/>
          </w:tcPr>
          <w:p w14:paraId="5EE9AD64" w14:textId="77777777" w:rsidR="0062654B" w:rsidRDefault="0062654B" w:rsidP="0062654B">
            <w:pPr>
              <w:pStyle w:val="TableParagraph"/>
              <w:rPr>
                <w:sz w:val="20"/>
              </w:rPr>
            </w:pPr>
          </w:p>
        </w:tc>
      </w:tr>
      <w:tr w:rsidR="0062654B" w14:paraId="08DBDA44" w14:textId="77777777">
        <w:trPr>
          <w:trHeight w:val="275"/>
        </w:trPr>
        <w:tc>
          <w:tcPr>
            <w:tcW w:w="5009" w:type="dxa"/>
          </w:tcPr>
          <w:p w14:paraId="374A8693" w14:textId="77777777" w:rsidR="0062654B" w:rsidRDefault="0062654B" w:rsidP="0062654B">
            <w:pPr>
              <w:pStyle w:val="TableParagraph"/>
              <w:rPr>
                <w:sz w:val="20"/>
              </w:rPr>
            </w:pPr>
          </w:p>
        </w:tc>
        <w:tc>
          <w:tcPr>
            <w:tcW w:w="4510" w:type="dxa"/>
          </w:tcPr>
          <w:p w14:paraId="4119764A" w14:textId="77777777" w:rsidR="0062654B" w:rsidRDefault="0062654B" w:rsidP="0062654B">
            <w:pPr>
              <w:pStyle w:val="TableParagraph"/>
              <w:rPr>
                <w:sz w:val="20"/>
              </w:rPr>
            </w:pPr>
          </w:p>
        </w:tc>
      </w:tr>
      <w:tr w:rsidR="0062654B" w14:paraId="465C0C84" w14:textId="77777777">
        <w:trPr>
          <w:trHeight w:val="275"/>
        </w:trPr>
        <w:tc>
          <w:tcPr>
            <w:tcW w:w="5009" w:type="dxa"/>
          </w:tcPr>
          <w:p w14:paraId="75510CF6" w14:textId="77777777" w:rsidR="0062654B" w:rsidRDefault="0062654B" w:rsidP="0062654B">
            <w:pPr>
              <w:pStyle w:val="TableParagraph"/>
              <w:rPr>
                <w:sz w:val="20"/>
              </w:rPr>
            </w:pPr>
          </w:p>
        </w:tc>
        <w:tc>
          <w:tcPr>
            <w:tcW w:w="4510" w:type="dxa"/>
          </w:tcPr>
          <w:p w14:paraId="416B244A" w14:textId="77777777" w:rsidR="0062654B" w:rsidRDefault="0062654B" w:rsidP="0062654B">
            <w:pPr>
              <w:pStyle w:val="TableParagraph"/>
              <w:rPr>
                <w:sz w:val="20"/>
              </w:rPr>
            </w:pPr>
          </w:p>
        </w:tc>
      </w:tr>
    </w:tbl>
    <w:p w14:paraId="5458F16E" w14:textId="77777777" w:rsidR="0093638F" w:rsidRDefault="0093638F">
      <w:pPr>
        <w:pStyle w:val="BodyText"/>
        <w:spacing w:before="1"/>
        <w:rPr>
          <w:sz w:val="13"/>
        </w:rPr>
      </w:pPr>
    </w:p>
    <w:p w14:paraId="7332DBC1" w14:textId="77777777" w:rsidR="00567BB7" w:rsidRDefault="00567BB7" w:rsidP="00567BB7">
      <w:pPr>
        <w:ind w:left="100"/>
        <w:rPr>
          <w:b/>
          <w:i/>
          <w:sz w:val="24"/>
        </w:rPr>
      </w:pPr>
    </w:p>
    <w:p w14:paraId="0125704E" w14:textId="5D2FBC57" w:rsidR="002863CD" w:rsidRDefault="002863CD" w:rsidP="002863CD">
      <w:pPr>
        <w:ind w:left="100"/>
        <w:rPr>
          <w:b/>
          <w:i/>
          <w:sz w:val="24"/>
        </w:rPr>
      </w:pPr>
      <w:r>
        <w:rPr>
          <w:b/>
          <w:i/>
          <w:sz w:val="24"/>
        </w:rPr>
        <w:t>DOCUMENTS/EXHIBITS</w:t>
      </w:r>
      <w:r>
        <w:rPr>
          <w:b/>
          <w:i/>
          <w:spacing w:val="-7"/>
          <w:sz w:val="24"/>
        </w:rPr>
        <w:t xml:space="preserve"> </w:t>
      </w:r>
      <w:r>
        <w:rPr>
          <w:b/>
          <w:i/>
          <w:sz w:val="24"/>
        </w:rPr>
        <w:t>USED</w:t>
      </w:r>
      <w:r>
        <w:rPr>
          <w:b/>
          <w:i/>
          <w:spacing w:val="-5"/>
          <w:sz w:val="24"/>
        </w:rPr>
        <w:t xml:space="preserve"> </w:t>
      </w:r>
      <w:r>
        <w:rPr>
          <w:b/>
          <w:i/>
          <w:sz w:val="24"/>
        </w:rPr>
        <w:t>AT</w:t>
      </w:r>
      <w:r>
        <w:rPr>
          <w:b/>
          <w:i/>
          <w:spacing w:val="-4"/>
          <w:sz w:val="24"/>
        </w:rPr>
        <w:t xml:space="preserve"> </w:t>
      </w:r>
      <w:r>
        <w:rPr>
          <w:b/>
          <w:i/>
          <w:spacing w:val="-2"/>
          <w:sz w:val="24"/>
        </w:rPr>
        <w:t>MEETING:</w:t>
      </w:r>
    </w:p>
    <w:tbl>
      <w:tblPr>
        <w:tblW w:w="0" w:type="auto"/>
        <w:tblInd w:w="227" w:type="dxa"/>
        <w:tblBorders>
          <w:bottom w:val="single" w:sz="4" w:space="0" w:color="auto"/>
        </w:tblBorders>
        <w:tblLayout w:type="fixed"/>
        <w:tblCellMar>
          <w:left w:w="0" w:type="dxa"/>
          <w:right w:w="0" w:type="dxa"/>
        </w:tblCellMar>
        <w:tblLook w:val="01E0" w:firstRow="1" w:lastRow="1" w:firstColumn="1" w:lastColumn="1" w:noHBand="0" w:noVBand="0"/>
      </w:tblPr>
      <w:tblGrid>
        <w:gridCol w:w="9498"/>
      </w:tblGrid>
      <w:tr w:rsidR="002863CD" w14:paraId="2C4D5E8C" w14:textId="77777777" w:rsidTr="001B635F">
        <w:trPr>
          <w:trHeight w:val="275"/>
        </w:trPr>
        <w:tc>
          <w:tcPr>
            <w:tcW w:w="9498" w:type="dxa"/>
            <w:tcBorders>
              <w:bottom w:val="single" w:sz="4" w:space="0" w:color="auto"/>
            </w:tcBorders>
          </w:tcPr>
          <w:p w14:paraId="1452171D" w14:textId="0B28B22A" w:rsidR="002863CD" w:rsidRDefault="009916B1" w:rsidP="001B635F">
            <w:pPr>
              <w:pStyle w:val="TableParagraph"/>
              <w:rPr>
                <w:sz w:val="20"/>
              </w:rPr>
            </w:pPr>
            <w:r w:rsidRPr="009916B1">
              <w:rPr>
                <w:sz w:val="20"/>
              </w:rPr>
              <w:t>2023-Commercial-BldgCode-Comparison.xlsx</w:t>
            </w:r>
            <w:r>
              <w:rPr>
                <w:sz w:val="20"/>
              </w:rPr>
              <w:t xml:space="preserve">, </w:t>
            </w:r>
            <w:r w:rsidRPr="009916B1">
              <w:rPr>
                <w:sz w:val="20"/>
              </w:rPr>
              <w:t>2023-Res-BldgCode-Comparison.xlsx</w:t>
            </w:r>
            <w:r>
              <w:rPr>
                <w:sz w:val="20"/>
              </w:rPr>
              <w:t>,</w:t>
            </w:r>
          </w:p>
        </w:tc>
      </w:tr>
      <w:tr w:rsidR="002863CD" w14:paraId="028923BD" w14:textId="77777777" w:rsidTr="001B635F">
        <w:trPr>
          <w:trHeight w:val="275"/>
        </w:trPr>
        <w:tc>
          <w:tcPr>
            <w:tcW w:w="9498" w:type="dxa"/>
            <w:tcBorders>
              <w:top w:val="single" w:sz="4" w:space="0" w:color="auto"/>
            </w:tcBorders>
          </w:tcPr>
          <w:p w14:paraId="58198519" w14:textId="77777777" w:rsidR="002863CD" w:rsidRDefault="009916B1" w:rsidP="001B635F">
            <w:pPr>
              <w:pStyle w:val="TableParagraph"/>
              <w:rPr>
                <w:sz w:val="20"/>
              </w:rPr>
            </w:pPr>
            <w:r w:rsidRPr="009916B1">
              <w:rPr>
                <w:sz w:val="20"/>
              </w:rPr>
              <w:t>Specialized-Opt-In-Highlights.docx</w:t>
            </w:r>
            <w:r>
              <w:rPr>
                <w:sz w:val="20"/>
              </w:rPr>
              <w:t>,</w:t>
            </w:r>
            <w:r w:rsidR="00E25CE5">
              <w:rPr>
                <w:sz w:val="20"/>
              </w:rPr>
              <w:t xml:space="preserve"> </w:t>
            </w:r>
            <w:r w:rsidR="00E25CE5" w:rsidRPr="00E25CE5">
              <w:rPr>
                <w:sz w:val="20"/>
              </w:rPr>
              <w:t>Stretch and Specialized code Regulation Summary 09222022.pdf</w:t>
            </w:r>
          </w:p>
          <w:p w14:paraId="2F30E9E1" w14:textId="5F0658C7" w:rsidR="00E25CE5" w:rsidRDefault="00E25CE5" w:rsidP="001B635F">
            <w:pPr>
              <w:pStyle w:val="TableParagraph"/>
              <w:rPr>
                <w:sz w:val="20"/>
              </w:rPr>
            </w:pPr>
            <w:r w:rsidRPr="00E25CE5">
              <w:rPr>
                <w:sz w:val="20"/>
              </w:rPr>
              <w:t>Newburyport Community Decarbonization 03_02_23.docx</w:t>
            </w:r>
            <w:r>
              <w:rPr>
                <w:sz w:val="20"/>
              </w:rPr>
              <w:t xml:space="preserve">, </w:t>
            </w:r>
            <w:r w:rsidRPr="00E25CE5">
              <w:rPr>
                <w:sz w:val="20"/>
              </w:rPr>
              <w:t>Newburyport EV Charger Roadmap 03_28_23.docx</w:t>
            </w:r>
          </w:p>
        </w:tc>
      </w:tr>
    </w:tbl>
    <w:p w14:paraId="622CADF6" w14:textId="77777777" w:rsidR="005E1F84" w:rsidRDefault="005E1F84" w:rsidP="00567BB7">
      <w:pPr>
        <w:ind w:left="100"/>
        <w:rPr>
          <w:b/>
          <w:i/>
          <w:sz w:val="24"/>
        </w:rPr>
      </w:pPr>
    </w:p>
    <w:p w14:paraId="671AA393" w14:textId="7EF429B5" w:rsidR="00567BB7" w:rsidRDefault="002C36D4" w:rsidP="00567BB7">
      <w:pPr>
        <w:ind w:left="100"/>
        <w:rPr>
          <w:color w:val="0000FF"/>
          <w:sz w:val="24"/>
        </w:rPr>
      </w:pPr>
      <w:r w:rsidRPr="002C36D4">
        <w:rPr>
          <w:color w:val="0000FF"/>
          <w:sz w:val="24"/>
        </w:rPr>
        <w:t>Meeting Recording Link</w:t>
      </w:r>
    </w:p>
    <w:p w14:paraId="77F0FF69" w14:textId="44007338" w:rsidR="00C21B0D" w:rsidRDefault="000A3FB4" w:rsidP="00567BB7">
      <w:pPr>
        <w:ind w:left="100"/>
        <w:rPr>
          <w:color w:val="0000FF"/>
          <w:sz w:val="24"/>
        </w:rPr>
      </w:pPr>
      <w:hyperlink r:id="rId7" w:tgtFrame="_blank" w:history="1">
        <w:r w:rsidR="00C21B0D">
          <w:rPr>
            <w:rStyle w:val="Hyperlink"/>
            <w:rFonts w:ascii="Helvetica" w:hAnsi="Helvetica" w:cs="Helvetica"/>
            <w:color w:val="0E71EB"/>
            <w:spacing w:val="2"/>
            <w:sz w:val="18"/>
            <w:szCs w:val="18"/>
            <w:shd w:val="clear" w:color="auto" w:fill="FFFFFF"/>
          </w:rPr>
          <w:t>https://us02web.zoom.us/rec/share/G6vWkwiOW85JQwFbdEWY0mf3Nkn89Ei3GvtmOQlLzK8mLzxbqdhGBfG42HRuRsw.RTfbym6HnVzuWiAT</w:t>
        </w:r>
      </w:hyperlink>
    </w:p>
    <w:tbl>
      <w:tblPr>
        <w:tblStyle w:val="TableGrid"/>
        <w:tblW w:w="0" w:type="auto"/>
        <w:tblInd w:w="100" w:type="dxa"/>
        <w:tblLook w:val="04A0" w:firstRow="1" w:lastRow="0" w:firstColumn="1" w:lastColumn="0" w:noHBand="0" w:noVBand="1"/>
      </w:tblPr>
      <w:tblGrid>
        <w:gridCol w:w="1178"/>
        <w:gridCol w:w="4050"/>
      </w:tblGrid>
      <w:tr w:rsidR="002C36D4" w14:paraId="0DE7388B" w14:textId="77777777" w:rsidTr="002C36D4">
        <w:tc>
          <w:tcPr>
            <w:tcW w:w="1178" w:type="dxa"/>
            <w:tcBorders>
              <w:top w:val="nil"/>
              <w:left w:val="nil"/>
              <w:bottom w:val="nil"/>
              <w:right w:val="nil"/>
            </w:tcBorders>
          </w:tcPr>
          <w:p w14:paraId="04023877" w14:textId="77777777" w:rsidR="002C36D4" w:rsidRDefault="002C36D4" w:rsidP="00567BB7">
            <w:pPr>
              <w:rPr>
                <w:color w:val="0000FF"/>
                <w:sz w:val="24"/>
              </w:rPr>
            </w:pPr>
            <w:r w:rsidRPr="002C36D4">
              <w:rPr>
                <w:sz w:val="24"/>
              </w:rPr>
              <w:t>Passcode:</w:t>
            </w:r>
          </w:p>
        </w:tc>
        <w:tc>
          <w:tcPr>
            <w:tcW w:w="4050" w:type="dxa"/>
            <w:tcBorders>
              <w:top w:val="nil"/>
              <w:left w:val="nil"/>
              <w:bottom w:val="single" w:sz="4" w:space="0" w:color="auto"/>
              <w:right w:val="nil"/>
            </w:tcBorders>
          </w:tcPr>
          <w:p w14:paraId="643CDC95" w14:textId="77777777" w:rsidR="002C36D4" w:rsidRDefault="002C36D4" w:rsidP="00567BB7">
            <w:pPr>
              <w:rPr>
                <w:color w:val="0000FF"/>
                <w:sz w:val="24"/>
              </w:rPr>
            </w:pPr>
          </w:p>
        </w:tc>
      </w:tr>
    </w:tbl>
    <w:p w14:paraId="7A70DBFF" w14:textId="77777777" w:rsidR="002C36D4" w:rsidRPr="002C36D4" w:rsidRDefault="002C36D4" w:rsidP="00567BB7">
      <w:pPr>
        <w:ind w:left="100"/>
        <w:rPr>
          <w:color w:val="0000FF"/>
          <w:sz w:val="24"/>
        </w:rPr>
      </w:pPr>
    </w:p>
    <w:p w14:paraId="56B4CBFB" w14:textId="021B990B" w:rsidR="00567BB7" w:rsidRDefault="00C21B0D">
      <w:pPr>
        <w:pStyle w:val="BodyText"/>
        <w:spacing w:before="1"/>
        <w:rPr>
          <w:b w:val="0"/>
          <w:bCs w:val="0"/>
          <w:i w:val="0"/>
          <w:iCs w:val="0"/>
          <w:sz w:val="24"/>
          <w:szCs w:val="24"/>
        </w:rPr>
      </w:pPr>
      <w:r>
        <w:rPr>
          <w:b w:val="0"/>
          <w:bCs w:val="0"/>
          <w:i w:val="0"/>
          <w:iCs w:val="0"/>
          <w:sz w:val="24"/>
          <w:szCs w:val="24"/>
        </w:rPr>
        <w:t>Other Notes:</w:t>
      </w:r>
    </w:p>
    <w:p w14:paraId="4D2F8232"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Don’s Comments</w:t>
      </w:r>
    </w:p>
    <w:p w14:paraId="32A296A6" w14:textId="06484E2D"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 For Greg, what are next steps in his decision making.  Assuming he raises point about some conflict in legislation versus building code </w:t>
      </w:r>
      <w:r w:rsidR="00F453CA" w:rsidRPr="00986DCB">
        <w:rPr>
          <w:rFonts w:ascii="Helvetica" w:hAnsi="Helvetica" w:cs="Helvetica"/>
          <w:color w:val="333333"/>
        </w:rPr>
        <w:t>authority (</w:t>
      </w:r>
      <w:r w:rsidRPr="00986DCB">
        <w:rPr>
          <w:rFonts w:ascii="Helvetica" w:hAnsi="Helvetica" w:cs="Helvetica"/>
          <w:color w:val="333333"/>
        </w:rPr>
        <w:t>I think you two and perhaps Bill have background and irrespective of other municipalities adopting the specialized code) I would ask assuming that is resolved that no issue in adopting specialized code, then what are the basis in his decision making.  Is it strictly financial, mission to be net zero regardless of cost, etc. </w:t>
      </w:r>
    </w:p>
    <w:p w14:paraId="227A3A05" w14:textId="77777777"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-For John Snell presentation is there a copy we can review before the meeting?  will John provide next steps along with schedule and costs to implement.</w:t>
      </w:r>
    </w:p>
    <w:p w14:paraId="461091E1" w14:textId="53ABDA5D"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-I've volunteered for the easy job of solar </w:t>
      </w:r>
      <w:proofErr w:type="gramStart"/>
      <w:r w:rsidRPr="00986DCB">
        <w:rPr>
          <w:rFonts w:ascii="Helvetica" w:hAnsi="Helvetica" w:cs="Helvetica"/>
          <w:color w:val="333333"/>
        </w:rPr>
        <w:t>coach(</w:t>
      </w:r>
      <w:proofErr w:type="gramEnd"/>
      <w:r w:rsidRPr="00986DCB">
        <w:rPr>
          <w:rFonts w:ascii="Helvetica" w:hAnsi="Helvetica" w:cs="Helvetica"/>
          <w:color w:val="333333"/>
        </w:rPr>
        <w:t xml:space="preserve">good for me for volunteering first and taking the </w:t>
      </w:r>
      <w:r w:rsidR="00F453CA" w:rsidRPr="00986DCB">
        <w:rPr>
          <w:rFonts w:ascii="Helvetica" w:hAnsi="Helvetica" w:cs="Helvetica"/>
          <w:color w:val="333333"/>
        </w:rPr>
        <w:t>easy</w:t>
      </w:r>
      <w:r w:rsidRPr="00986DCB">
        <w:rPr>
          <w:rFonts w:ascii="Helvetica" w:hAnsi="Helvetica" w:cs="Helvetica"/>
          <w:color w:val="333333"/>
        </w:rPr>
        <w:t xml:space="preserve"> role-</w:t>
      </w:r>
      <w:proofErr w:type="spellStart"/>
      <w:r w:rsidRPr="00986DCB">
        <w:rPr>
          <w:rFonts w:ascii="Helvetica" w:hAnsi="Helvetica" w:cs="Helvetica"/>
          <w:color w:val="333333"/>
        </w:rPr>
        <w:t>ha,ha</w:t>
      </w:r>
      <w:proofErr w:type="spellEnd"/>
      <w:r w:rsidRPr="00986DCB">
        <w:rPr>
          <w:rFonts w:ascii="Helvetica" w:hAnsi="Helvetica" w:cs="Helvetica"/>
          <w:color w:val="333333"/>
        </w:rPr>
        <w:t xml:space="preserve">) and per </w:t>
      </w:r>
      <w:r w:rsidR="00F453CA" w:rsidRPr="00986DCB">
        <w:rPr>
          <w:rFonts w:ascii="Helvetica" w:hAnsi="Helvetica" w:cs="Helvetica"/>
          <w:color w:val="333333"/>
        </w:rPr>
        <w:t>their</w:t>
      </w:r>
      <w:r w:rsidRPr="00986DCB">
        <w:rPr>
          <w:rFonts w:ascii="Helvetica" w:hAnsi="Helvetica" w:cs="Helvetica"/>
          <w:color w:val="333333"/>
        </w:rPr>
        <w:t xml:space="preserve"> Energize webinar I attended it seems based on other communities experience most interest in heat pumps and weatherization/insulation. Leaving the heavy lifting to Bill and Mike.</w:t>
      </w:r>
    </w:p>
    <w:p w14:paraId="04B94A32" w14:textId="677DBA25"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-If Nexamp rolls out energy storage a thought on agreement review comes to mind.  One is review T&amp;C's before going to individuals with note this has been </w:t>
      </w:r>
      <w:r w:rsidR="00F453CA" w:rsidRPr="00986DCB">
        <w:rPr>
          <w:rFonts w:ascii="Helvetica" w:hAnsi="Helvetica" w:cs="Helvetica"/>
          <w:color w:val="333333"/>
        </w:rPr>
        <w:t>reviewed</w:t>
      </w:r>
      <w:r w:rsidRPr="00986DCB">
        <w:rPr>
          <w:rFonts w:ascii="Helvetica" w:hAnsi="Helvetica" w:cs="Helvetica"/>
          <w:color w:val="333333"/>
        </w:rPr>
        <w:t xml:space="preserve"> by DW or EAC or ?? with appropriate disclaimer such as each individual should review as they see fit.  </w:t>
      </w:r>
    </w:p>
    <w:p w14:paraId="53601164" w14:textId="0ECF2206"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-A reminder to Mike as this for some reason is near and dear to my heart.  Please ask Samantha to see how many EV's are in 2024 budget and if any for police </w:t>
      </w:r>
      <w:r w:rsidR="00F453CA" w:rsidRPr="00986DCB">
        <w:rPr>
          <w:rFonts w:ascii="Helvetica" w:hAnsi="Helvetica" w:cs="Helvetica"/>
          <w:color w:val="333333"/>
        </w:rPr>
        <w:t>then</w:t>
      </w:r>
      <w:r w:rsidRPr="00986DCB">
        <w:rPr>
          <w:rFonts w:ascii="Helvetica" w:hAnsi="Helvetica" w:cs="Helvetica"/>
          <w:color w:val="333333"/>
        </w:rPr>
        <w:t xml:space="preserve"> is </w:t>
      </w:r>
      <w:r w:rsidR="00F453CA">
        <w:rPr>
          <w:rFonts w:ascii="Helvetica" w:hAnsi="Helvetica" w:cs="Helvetica"/>
          <w:color w:val="333333"/>
        </w:rPr>
        <w:t xml:space="preserve">their </w:t>
      </w:r>
      <w:r w:rsidRPr="00986DCB">
        <w:rPr>
          <w:rFonts w:ascii="Helvetica" w:hAnsi="Helvetica" w:cs="Helvetica"/>
          <w:color w:val="333333"/>
        </w:rPr>
        <w:t xml:space="preserve">money for fast charger.  When I spoke to Samantha on this issue and it's possible I misunderstood, the police department did not buy two EV's because they felt they needed a fast </w:t>
      </w:r>
      <w:r w:rsidR="00F453CA" w:rsidRPr="00986DCB">
        <w:rPr>
          <w:rFonts w:ascii="Helvetica" w:hAnsi="Helvetica" w:cs="Helvetica"/>
          <w:color w:val="333333"/>
        </w:rPr>
        <w:t>charger</w:t>
      </w:r>
      <w:r w:rsidRPr="00986DCB">
        <w:rPr>
          <w:rFonts w:ascii="Helvetica" w:hAnsi="Helvetica" w:cs="Helvetica"/>
          <w:color w:val="333333"/>
        </w:rPr>
        <w:t xml:space="preserve">.  If this is true and the position is unchanged or assuming the mayor doesn't override, it would seem we need to allocate money for at least one fast charger by police </w:t>
      </w:r>
      <w:proofErr w:type="spellStart"/>
      <w:r w:rsidRPr="00986DCB">
        <w:rPr>
          <w:rFonts w:ascii="Helvetica" w:hAnsi="Helvetica" w:cs="Helvetica"/>
          <w:color w:val="333333"/>
        </w:rPr>
        <w:t>hq</w:t>
      </w:r>
      <w:proofErr w:type="spellEnd"/>
      <w:r w:rsidRPr="00986DCB">
        <w:rPr>
          <w:rFonts w:ascii="Helvetica" w:hAnsi="Helvetica" w:cs="Helvetica"/>
          <w:color w:val="333333"/>
        </w:rPr>
        <w:t>. Otherwise Catch 22</w:t>
      </w:r>
    </w:p>
    <w:p w14:paraId="27881022" w14:textId="58D2008F"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-For Molly rough ballpark number</w:t>
      </w:r>
      <w:proofErr w:type="gramStart"/>
      <w:r w:rsidRPr="00986DCB">
        <w:rPr>
          <w:rFonts w:ascii="Helvetica" w:hAnsi="Helvetica" w:cs="Helvetica"/>
          <w:color w:val="333333"/>
        </w:rPr>
        <w:t>-  how</w:t>
      </w:r>
      <w:proofErr w:type="gramEnd"/>
      <w:r w:rsidRPr="00986DCB">
        <w:rPr>
          <w:rFonts w:ascii="Helvetica" w:hAnsi="Helvetica" w:cs="Helvetica"/>
          <w:color w:val="333333"/>
        </w:rPr>
        <w:t xml:space="preserve"> much less (or more) is rec</w:t>
      </w:r>
      <w:r w:rsidR="00F453CA">
        <w:rPr>
          <w:rFonts w:ascii="Helvetica" w:hAnsi="Helvetica" w:cs="Helvetica"/>
          <w:color w:val="333333"/>
        </w:rPr>
        <w:t>ycling</w:t>
      </w:r>
      <w:r w:rsidRPr="00986DCB">
        <w:rPr>
          <w:rFonts w:ascii="Helvetica" w:hAnsi="Helvetica" w:cs="Helvetica"/>
          <w:color w:val="333333"/>
        </w:rPr>
        <w:t xml:space="preserve"> per ton compared to normal trash. </w:t>
      </w:r>
    </w:p>
    <w:p w14:paraId="29DFA3EC" w14:textId="20446A34" w:rsidR="00C21B0D" w:rsidRPr="00986DCB"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-As aggregation may be reviewed in next 3-6 months, I can volunteer to draft a letter to PUC head asking if the Newburyport </w:t>
      </w:r>
      <w:r w:rsidR="00F453CA" w:rsidRPr="00986DCB">
        <w:rPr>
          <w:rFonts w:ascii="Helvetica" w:hAnsi="Helvetica" w:cs="Helvetica"/>
          <w:color w:val="333333"/>
        </w:rPr>
        <w:t>approval</w:t>
      </w:r>
      <w:r w:rsidRPr="00986DCB">
        <w:rPr>
          <w:rFonts w:ascii="Helvetica" w:hAnsi="Helvetica" w:cs="Helvetica"/>
          <w:color w:val="333333"/>
        </w:rPr>
        <w:t xml:space="preserve"> allows us the flexibility to offer as an option higher renewable content.  You may recall Phil Smith was confident a new application to provide this optionality is needed while Mark felt not needed as other towns have done this under same approval that Newburyport has.  I think we should try to resolve and </w:t>
      </w:r>
      <w:proofErr w:type="spellStart"/>
      <w:r w:rsidRPr="00986DCB">
        <w:rPr>
          <w:rFonts w:ascii="Helvetica" w:hAnsi="Helvetica" w:cs="Helvetica"/>
          <w:color w:val="333333"/>
        </w:rPr>
        <w:t>know</w:t>
      </w:r>
      <w:proofErr w:type="spellEnd"/>
      <w:r w:rsidRPr="00986DCB">
        <w:rPr>
          <w:rFonts w:ascii="Helvetica" w:hAnsi="Helvetica" w:cs="Helvetica"/>
          <w:color w:val="333333"/>
        </w:rPr>
        <w:t xml:space="preserve"> one way or other on path forward.  </w:t>
      </w:r>
      <w:r w:rsidR="00F453CA" w:rsidRPr="00986DCB">
        <w:rPr>
          <w:rFonts w:ascii="Helvetica" w:hAnsi="Helvetica" w:cs="Helvetica"/>
          <w:color w:val="333333"/>
        </w:rPr>
        <w:t>Of course,</w:t>
      </w:r>
      <w:r w:rsidRPr="00986DCB">
        <w:rPr>
          <w:rFonts w:ascii="Helvetica" w:hAnsi="Helvetica" w:cs="Helvetica"/>
          <w:color w:val="333333"/>
        </w:rPr>
        <w:t xml:space="preserve"> draft would be </w:t>
      </w:r>
      <w:r w:rsidR="00F453CA" w:rsidRPr="00986DCB">
        <w:rPr>
          <w:rFonts w:ascii="Helvetica" w:hAnsi="Helvetica" w:cs="Helvetica"/>
          <w:color w:val="333333"/>
        </w:rPr>
        <w:t>reviewed</w:t>
      </w:r>
      <w:r w:rsidRPr="00986DCB">
        <w:rPr>
          <w:rFonts w:ascii="Helvetica" w:hAnsi="Helvetica" w:cs="Helvetica"/>
          <w:color w:val="333333"/>
        </w:rPr>
        <w:t xml:space="preserve"> by both of you and Mark (for all I know Mark may know of another community has made similar inquiry and we can use) before eventual signature by Mayor. </w:t>
      </w:r>
    </w:p>
    <w:p w14:paraId="03A057B9" w14:textId="77777777" w:rsidR="00C21B0D" w:rsidRDefault="00C21B0D" w:rsidP="00C21B0D">
      <w:pPr>
        <w:shd w:val="clear" w:color="auto" w:fill="FFFFFF"/>
        <w:rPr>
          <w:rFonts w:ascii="Helvetica" w:hAnsi="Helvetica" w:cs="Helvetica"/>
          <w:color w:val="333333"/>
        </w:rPr>
      </w:pPr>
      <w:r w:rsidRPr="00986DCB">
        <w:rPr>
          <w:rFonts w:ascii="Helvetica" w:hAnsi="Helvetica" w:cs="Helvetica"/>
          <w:color w:val="333333"/>
        </w:rPr>
        <w:t xml:space="preserve">-  </w:t>
      </w:r>
      <w:r>
        <w:rPr>
          <w:rFonts w:ascii="Helvetica" w:hAnsi="Helvetica" w:cs="Helvetica"/>
          <w:color w:val="333333"/>
        </w:rPr>
        <w:t>Kim Turner is probably project manager for lighting program</w:t>
      </w:r>
      <w:r w:rsidRPr="00986DCB">
        <w:rPr>
          <w:rFonts w:ascii="Helvetica" w:hAnsi="Helvetica" w:cs="Helvetica"/>
          <w:color w:val="333333"/>
        </w:rPr>
        <w:t> </w:t>
      </w:r>
    </w:p>
    <w:p w14:paraId="39521685" w14:textId="77777777" w:rsidR="00C21B0D" w:rsidRDefault="00C21B0D" w:rsidP="00C21B0D">
      <w:pPr>
        <w:shd w:val="clear" w:color="auto" w:fill="FFFFFF"/>
        <w:rPr>
          <w:rFonts w:ascii="Helvetica" w:hAnsi="Helvetica" w:cs="Helvetica"/>
          <w:color w:val="333333"/>
        </w:rPr>
      </w:pPr>
    </w:p>
    <w:p w14:paraId="1D36BCA4" w14:textId="77777777" w:rsidR="00C21B0D" w:rsidRDefault="00C21B0D" w:rsidP="00C21B0D">
      <w:pPr>
        <w:shd w:val="clear" w:color="auto" w:fill="FFFFFF"/>
        <w:rPr>
          <w:rFonts w:ascii="Helvetica" w:hAnsi="Helvetica" w:cs="Helvetica"/>
          <w:color w:val="333333"/>
        </w:rPr>
      </w:pPr>
      <w:proofErr w:type="spellStart"/>
      <w:r>
        <w:rPr>
          <w:rFonts w:ascii="Helvetica" w:hAnsi="Helvetica" w:cs="Helvetica"/>
          <w:color w:val="333333"/>
        </w:rPr>
        <w:t>BuildingsUp</w:t>
      </w:r>
      <w:proofErr w:type="spellEnd"/>
      <w:r>
        <w:rPr>
          <w:rFonts w:ascii="Helvetica" w:hAnsi="Helvetica" w:cs="Helvetica"/>
          <w:color w:val="333333"/>
        </w:rPr>
        <w:t xml:space="preserve"> award and planning</w:t>
      </w:r>
    </w:p>
    <w:p w14:paraId="57EFAEA0" w14:textId="77777777" w:rsidR="00C21B0D" w:rsidRDefault="00C21B0D" w:rsidP="00C21B0D">
      <w:pPr>
        <w:shd w:val="clear" w:color="auto" w:fill="FFFFFF"/>
        <w:rPr>
          <w:rFonts w:ascii="Helvetica" w:hAnsi="Helvetica" w:cs="Helvetica"/>
          <w:color w:val="333333"/>
        </w:rPr>
      </w:pPr>
    </w:p>
    <w:p w14:paraId="210B222B" w14:textId="77777777" w:rsidR="00C21B0D" w:rsidRDefault="00C21B0D" w:rsidP="00C21B0D">
      <w:pPr>
        <w:shd w:val="clear" w:color="auto" w:fill="FFFFFF"/>
        <w:rPr>
          <w:rFonts w:ascii="Helvetica" w:hAnsi="Helvetica" w:cs="Helvetica"/>
          <w:color w:val="333333"/>
        </w:rPr>
      </w:pPr>
      <w:r>
        <w:rPr>
          <w:rFonts w:ascii="Helvetica" w:hAnsi="Helvetica" w:cs="Helvetica"/>
          <w:color w:val="333333"/>
        </w:rPr>
        <w:lastRenderedPageBreak/>
        <w:t>UMASS program on Water and Wastewater plants: evaluate for efficiencies.</w:t>
      </w:r>
    </w:p>
    <w:p w14:paraId="432A90A1" w14:textId="77777777" w:rsidR="00C21B0D" w:rsidRDefault="00C21B0D" w:rsidP="00C21B0D">
      <w:pPr>
        <w:shd w:val="clear" w:color="auto" w:fill="FFFFFF"/>
        <w:rPr>
          <w:rFonts w:ascii="Helvetica" w:hAnsi="Helvetica" w:cs="Helvetica"/>
          <w:color w:val="333333"/>
        </w:rPr>
      </w:pPr>
    </w:p>
    <w:p w14:paraId="52FB557E" w14:textId="77777777" w:rsidR="00C21B0D" w:rsidRDefault="00C21B0D" w:rsidP="00C21B0D">
      <w:pPr>
        <w:shd w:val="clear" w:color="auto" w:fill="FFFFFF"/>
        <w:rPr>
          <w:rFonts w:ascii="Helvetica" w:hAnsi="Helvetica" w:cs="Helvetica"/>
          <w:color w:val="333333"/>
        </w:rPr>
      </w:pPr>
      <w:r>
        <w:rPr>
          <w:rFonts w:ascii="Helvetica" w:hAnsi="Helvetica" w:cs="Helvetica"/>
          <w:color w:val="333333"/>
        </w:rPr>
        <w:t>LED Lights for Downtown</w:t>
      </w:r>
    </w:p>
    <w:p w14:paraId="0F0B96EC" w14:textId="77777777" w:rsidR="00C21B0D" w:rsidRDefault="00C21B0D" w:rsidP="00C21B0D">
      <w:pPr>
        <w:shd w:val="clear" w:color="auto" w:fill="FFFFFF"/>
        <w:rPr>
          <w:rFonts w:ascii="Helvetica" w:hAnsi="Helvetica" w:cs="Helvetica"/>
          <w:color w:val="333333"/>
        </w:rPr>
      </w:pPr>
    </w:p>
    <w:p w14:paraId="4AA98E89" w14:textId="77777777" w:rsidR="00C21B0D" w:rsidRDefault="00C21B0D" w:rsidP="00C21B0D">
      <w:pPr>
        <w:shd w:val="clear" w:color="auto" w:fill="FFFFFF"/>
        <w:rPr>
          <w:rFonts w:ascii="Georgia" w:hAnsi="Georgia"/>
          <w:color w:val="222222"/>
          <w:sz w:val="27"/>
          <w:szCs w:val="27"/>
          <w:shd w:val="clear" w:color="auto" w:fill="FFFFFF"/>
        </w:rPr>
      </w:pPr>
      <w:r>
        <w:rPr>
          <w:rFonts w:ascii="Helvetica" w:hAnsi="Helvetica" w:cs="Helvetica"/>
          <w:color w:val="333333"/>
        </w:rPr>
        <w:t xml:space="preserve">New </w:t>
      </w:r>
      <w:proofErr w:type="gramStart"/>
      <w:r>
        <w:rPr>
          <w:rFonts w:ascii="Helvetica" w:hAnsi="Helvetica" w:cs="Helvetica"/>
          <w:color w:val="333333"/>
        </w:rPr>
        <w:t>Commissioners  of</w:t>
      </w:r>
      <w:proofErr w:type="gramEnd"/>
      <w:r>
        <w:rPr>
          <w:rFonts w:ascii="Helvetica" w:hAnsi="Helvetica" w:cs="Helvetica"/>
          <w:color w:val="333333"/>
        </w:rPr>
        <w:t xml:space="preserve"> DPU </w:t>
      </w:r>
      <w:r>
        <w:rPr>
          <w:rFonts w:ascii="Georgia" w:hAnsi="Georgia"/>
          <w:color w:val="222222"/>
          <w:sz w:val="27"/>
          <w:szCs w:val="27"/>
          <w:shd w:val="clear" w:color="auto" w:fill="FFFFFF"/>
        </w:rPr>
        <w:t>Jamie Van Nostrand, a law professor and clean energy advocate from West Virginia and Staci Rubin, a Boston-based environmental justice specialist at the Conservation Law Foundation </w:t>
      </w:r>
    </w:p>
    <w:p w14:paraId="65CDFD73" w14:textId="77777777" w:rsidR="00C21B0D" w:rsidRDefault="00C21B0D" w:rsidP="00C21B0D">
      <w:pPr>
        <w:shd w:val="clear" w:color="auto" w:fill="FFFFFF"/>
        <w:rPr>
          <w:rFonts w:ascii="Georgia" w:hAnsi="Georgia"/>
          <w:color w:val="222222"/>
          <w:sz w:val="27"/>
          <w:szCs w:val="27"/>
          <w:shd w:val="clear" w:color="auto" w:fill="FFFFFF"/>
        </w:rPr>
      </w:pPr>
    </w:p>
    <w:p w14:paraId="2A812342" w14:textId="77777777" w:rsidR="00C21B0D" w:rsidRDefault="00C21B0D" w:rsidP="00C21B0D">
      <w:pPr>
        <w:shd w:val="clear" w:color="auto" w:fill="FFFFFF"/>
        <w:rPr>
          <w:rFonts w:ascii="Georgia" w:hAnsi="Georgia"/>
          <w:color w:val="222222"/>
          <w:sz w:val="27"/>
          <w:szCs w:val="27"/>
          <w:shd w:val="clear" w:color="auto" w:fill="FFFFFF"/>
        </w:rPr>
      </w:pPr>
    </w:p>
    <w:p w14:paraId="373265D5"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Stretch code:</w:t>
      </w:r>
    </w:p>
    <w:p w14:paraId="23796177"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Time line: phase in from July 1 2023 to June 30 2024</w:t>
      </w:r>
    </w:p>
    <w:p w14:paraId="029CD7D8" w14:textId="77777777" w:rsidR="00C21B0D" w:rsidRDefault="00C21B0D" w:rsidP="00C21B0D">
      <w:pPr>
        <w:shd w:val="clear" w:color="auto" w:fill="FFFFFF"/>
        <w:rPr>
          <w:rFonts w:ascii="Georgia" w:hAnsi="Georgia"/>
          <w:color w:val="222222"/>
          <w:sz w:val="27"/>
          <w:szCs w:val="27"/>
          <w:shd w:val="clear" w:color="auto" w:fill="FFFFFF"/>
        </w:rPr>
      </w:pPr>
    </w:p>
    <w:p w14:paraId="56112321"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 xml:space="preserve">DOER recommends at least a </w:t>
      </w:r>
      <w:proofErr w:type="gramStart"/>
      <w:r>
        <w:rPr>
          <w:rFonts w:ascii="Georgia" w:hAnsi="Georgia"/>
          <w:color w:val="222222"/>
          <w:sz w:val="27"/>
          <w:szCs w:val="27"/>
          <w:shd w:val="clear" w:color="auto" w:fill="FFFFFF"/>
        </w:rPr>
        <w:t>6 month</w:t>
      </w:r>
      <w:proofErr w:type="gramEnd"/>
      <w:r>
        <w:rPr>
          <w:rFonts w:ascii="Georgia" w:hAnsi="Georgia"/>
          <w:color w:val="222222"/>
          <w:sz w:val="27"/>
          <w:szCs w:val="27"/>
          <w:shd w:val="clear" w:color="auto" w:fill="FFFFFF"/>
        </w:rPr>
        <w:t xml:space="preserve"> phase in of </w:t>
      </w:r>
      <w:proofErr w:type="spellStart"/>
      <w:r>
        <w:rPr>
          <w:rFonts w:ascii="Georgia" w:hAnsi="Georgia"/>
          <w:color w:val="222222"/>
          <w:sz w:val="27"/>
          <w:szCs w:val="27"/>
          <w:shd w:val="clear" w:color="auto" w:fill="FFFFFF"/>
        </w:rPr>
        <w:t>Opt</w:t>
      </w:r>
      <w:proofErr w:type="spellEnd"/>
      <w:r>
        <w:rPr>
          <w:rFonts w:ascii="Georgia" w:hAnsi="Georgia"/>
          <w:color w:val="222222"/>
          <w:sz w:val="27"/>
          <w:szCs w:val="27"/>
          <w:shd w:val="clear" w:color="auto" w:fill="FFFFFF"/>
        </w:rPr>
        <w:t xml:space="preserve"> in starting on Jan 1 or July 1.</w:t>
      </w:r>
    </w:p>
    <w:p w14:paraId="6A7D8287" w14:textId="77777777" w:rsidR="00C21B0D" w:rsidRPr="006042D9" w:rsidRDefault="00C21B0D" w:rsidP="00C21B0D">
      <w:pPr>
        <w:shd w:val="clear" w:color="auto" w:fill="FFFFFF"/>
        <w:rPr>
          <w:rFonts w:ascii="Georgia" w:hAnsi="Georgia"/>
          <w:color w:val="222222"/>
          <w:sz w:val="27"/>
          <w:szCs w:val="27"/>
          <w:shd w:val="clear" w:color="auto" w:fill="FFFFFF"/>
        </w:rPr>
      </w:pPr>
      <w:r w:rsidRPr="006042D9">
        <w:rPr>
          <w:rFonts w:ascii="Georgia" w:hAnsi="Georgia"/>
          <w:color w:val="222222"/>
          <w:sz w:val="27"/>
          <w:szCs w:val="27"/>
          <w:shd w:val="clear" w:color="auto" w:fill="FFFFFF"/>
        </w:rPr>
        <w:t>The Specialized Code adopts a definition of Net-zero Building as follows:</w:t>
      </w:r>
    </w:p>
    <w:p w14:paraId="6C056835" w14:textId="77777777" w:rsidR="00C21B0D" w:rsidRDefault="00C21B0D" w:rsidP="00C21B0D">
      <w:pPr>
        <w:shd w:val="clear" w:color="auto" w:fill="FFFFFF"/>
        <w:rPr>
          <w:rFonts w:ascii="Georgia" w:hAnsi="Georgia"/>
          <w:color w:val="222222"/>
          <w:sz w:val="27"/>
          <w:szCs w:val="27"/>
          <w:shd w:val="clear" w:color="auto" w:fill="FFFFFF"/>
        </w:rPr>
      </w:pPr>
      <w:r w:rsidRPr="006042D9">
        <w:rPr>
          <w:rFonts w:ascii="Georgia" w:hAnsi="Georgia"/>
          <w:color w:val="222222"/>
          <w:sz w:val="27"/>
          <w:szCs w:val="27"/>
          <w:shd w:val="clear" w:color="auto" w:fill="FFFFFF"/>
        </w:rPr>
        <w:t>A building which is consistent with achievement of MA 2050 net zero emissions, through a combination of highly energy efficient design together with being an all-electric or Zero Energy Building, or where fossil fuels are utilized, a building fully pre-wired for future electr</w:t>
      </w:r>
      <w:r>
        <w:rPr>
          <w:rFonts w:ascii="Georgia" w:hAnsi="Georgia"/>
          <w:color w:val="222222"/>
          <w:sz w:val="27"/>
          <w:szCs w:val="27"/>
          <w:shd w:val="clear" w:color="auto" w:fill="FFFFFF"/>
        </w:rPr>
        <w:t>ification.</w:t>
      </w:r>
    </w:p>
    <w:p w14:paraId="267B9A10" w14:textId="77777777" w:rsidR="00C21B0D" w:rsidRDefault="00C21B0D" w:rsidP="00C21B0D">
      <w:pPr>
        <w:shd w:val="clear" w:color="auto" w:fill="FFFFFF"/>
        <w:rPr>
          <w:rFonts w:ascii="Georgia" w:hAnsi="Georgia"/>
          <w:color w:val="222222"/>
          <w:sz w:val="27"/>
          <w:szCs w:val="27"/>
          <w:shd w:val="clear" w:color="auto" w:fill="FFFFFF"/>
        </w:rPr>
      </w:pPr>
    </w:p>
    <w:p w14:paraId="6ED2255C"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Summary:</w:t>
      </w:r>
    </w:p>
    <w:p w14:paraId="0EF03A8D"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All homes:</w:t>
      </w:r>
    </w:p>
    <w:p w14:paraId="3102FE14" w14:textId="77777777" w:rsidR="00C21B0D" w:rsidRPr="00BF3788" w:rsidRDefault="00C21B0D" w:rsidP="00C21B0D">
      <w:pPr>
        <w:pStyle w:val="ListParagraph"/>
        <w:widowControl/>
        <w:numPr>
          <w:ilvl w:val="0"/>
          <w:numId w:val="2"/>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Must have wiring to parking and panel capacity sufficient for EVs: 1 space/unit or 20% of spaces for large multiunit</w:t>
      </w:r>
    </w:p>
    <w:p w14:paraId="5ADA0A59"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Homes using fossil fuel:</w:t>
      </w:r>
    </w:p>
    <w:p w14:paraId="79CBE44D" w14:textId="77777777" w:rsidR="00C21B0D" w:rsidRDefault="00C21B0D" w:rsidP="00C21B0D">
      <w:pPr>
        <w:pStyle w:val="ListParagraph"/>
        <w:widowControl/>
        <w:numPr>
          <w:ilvl w:val="0"/>
          <w:numId w:val="1"/>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Have higher efficiency/insulation standards   HERS/Passive House</w:t>
      </w:r>
    </w:p>
    <w:p w14:paraId="1E02545D" w14:textId="77777777" w:rsidR="00C21B0D" w:rsidRDefault="00C21B0D" w:rsidP="00C21B0D">
      <w:pPr>
        <w:pStyle w:val="ListParagraph"/>
        <w:widowControl/>
        <w:numPr>
          <w:ilvl w:val="0"/>
          <w:numId w:val="1"/>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Must have solar</w:t>
      </w:r>
    </w:p>
    <w:p w14:paraId="5A6B26F6" w14:textId="77777777" w:rsidR="00C21B0D" w:rsidRDefault="00C21B0D" w:rsidP="00C21B0D">
      <w:pPr>
        <w:pStyle w:val="ListParagraph"/>
        <w:widowControl/>
        <w:numPr>
          <w:ilvl w:val="0"/>
          <w:numId w:val="1"/>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Must have electrical service sufficient to upgrade all HVAC and appliances to electric along with prewiring.</w:t>
      </w:r>
    </w:p>
    <w:p w14:paraId="5BC28787"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Homes that are all electric</w:t>
      </w:r>
    </w:p>
    <w:p w14:paraId="50D62FEA" w14:textId="77777777" w:rsidR="00C21B0D" w:rsidRDefault="00C21B0D" w:rsidP="00C21B0D">
      <w:pPr>
        <w:pStyle w:val="ListParagraph"/>
        <w:widowControl/>
        <w:numPr>
          <w:ilvl w:val="0"/>
          <w:numId w:val="3"/>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Less strict standard for efficiency/insulation</w:t>
      </w:r>
    </w:p>
    <w:p w14:paraId="43F91719" w14:textId="77777777" w:rsidR="00C21B0D" w:rsidRDefault="00C21B0D" w:rsidP="00C21B0D">
      <w:pPr>
        <w:pStyle w:val="ListParagraph"/>
        <w:widowControl/>
        <w:numPr>
          <w:ilvl w:val="0"/>
          <w:numId w:val="3"/>
        </w:numPr>
        <w:shd w:val="clear" w:color="auto" w:fill="FFFFFF"/>
        <w:autoSpaceDE/>
        <w:autoSpaceDN/>
        <w:spacing w:after="160" w:line="259" w:lineRule="auto"/>
        <w:contextualSpacing/>
        <w:rPr>
          <w:rFonts w:ascii="Georgia" w:hAnsi="Georgia"/>
          <w:color w:val="222222"/>
          <w:sz w:val="27"/>
          <w:szCs w:val="27"/>
          <w:shd w:val="clear" w:color="auto" w:fill="FFFFFF"/>
        </w:rPr>
      </w:pPr>
      <w:r>
        <w:rPr>
          <w:rFonts w:ascii="Georgia" w:hAnsi="Georgia"/>
          <w:color w:val="222222"/>
          <w:sz w:val="27"/>
          <w:szCs w:val="27"/>
          <w:shd w:val="clear" w:color="auto" w:fill="FFFFFF"/>
        </w:rPr>
        <w:t>Solar ready</w:t>
      </w:r>
    </w:p>
    <w:p w14:paraId="45F7F3EC" w14:textId="77777777" w:rsidR="00C21B0D" w:rsidRDefault="00C21B0D" w:rsidP="00C21B0D">
      <w:pPr>
        <w:shd w:val="clear" w:color="auto" w:fill="FFFFFF"/>
        <w:rPr>
          <w:rFonts w:ascii="Georgia" w:hAnsi="Georgia"/>
          <w:color w:val="222222"/>
          <w:sz w:val="27"/>
          <w:szCs w:val="27"/>
          <w:shd w:val="clear" w:color="auto" w:fill="FFFFFF"/>
        </w:rPr>
      </w:pPr>
    </w:p>
    <w:p w14:paraId="54557668"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For Rehabs, exemption for historic properties.</w:t>
      </w:r>
    </w:p>
    <w:p w14:paraId="6DAC4D2B" w14:textId="77777777" w:rsidR="00C21B0D" w:rsidRPr="009169AF" w:rsidRDefault="00C21B0D" w:rsidP="00C21B0D">
      <w:pPr>
        <w:shd w:val="clear" w:color="auto" w:fill="FFFFFF"/>
        <w:rPr>
          <w:rFonts w:ascii="Georgia" w:hAnsi="Georgia"/>
          <w:color w:val="222222"/>
          <w:sz w:val="27"/>
          <w:szCs w:val="27"/>
          <w:shd w:val="clear" w:color="auto" w:fill="FFFFFF"/>
        </w:rPr>
      </w:pPr>
      <w:r w:rsidRPr="009169AF">
        <w:rPr>
          <w:rFonts w:ascii="Georgia" w:hAnsi="Georgia"/>
          <w:color w:val="222222"/>
          <w:sz w:val="27"/>
          <w:szCs w:val="27"/>
          <w:shd w:val="clear" w:color="auto" w:fill="FFFFFF"/>
        </w:rPr>
        <w:t>Historic Buildings (R501.6)</w:t>
      </w:r>
    </w:p>
    <w:p w14:paraId="06195F37" w14:textId="77777777" w:rsidR="00C21B0D" w:rsidRPr="00E0036B" w:rsidRDefault="00C21B0D" w:rsidP="00C21B0D">
      <w:pPr>
        <w:shd w:val="clear" w:color="auto" w:fill="FFFFFF"/>
        <w:rPr>
          <w:rFonts w:ascii="Georgia" w:hAnsi="Georgia"/>
          <w:color w:val="222222"/>
          <w:sz w:val="27"/>
          <w:szCs w:val="27"/>
          <w:shd w:val="clear" w:color="auto" w:fill="FFFFFF"/>
        </w:rPr>
      </w:pPr>
      <w:r w:rsidRPr="009169AF">
        <w:rPr>
          <w:rFonts w:ascii="Georgia" w:hAnsi="Georgia"/>
          <w:color w:val="222222"/>
          <w:sz w:val="27"/>
          <w:szCs w:val="27"/>
          <w:shd w:val="clear" w:color="auto" w:fill="FFFFFF"/>
        </w:rPr>
        <w:t>The Stretch Code will maintain R501.6 from Base Code: Provisions of this code relating to the</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construction, repair, alteration, restoration and movement of structures, and change of occupancy</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shall not be mandatory for historic buildings provided that a report has been submitted to the</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code official and signed by the owner, a registered design professional, or a representative of the</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State Historic Preservation Office or the historic preservation authority having jurisdiction,</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demonstrating that compliance with that provision would threaten, degrade or destroy the</w:t>
      </w:r>
      <w:r>
        <w:rPr>
          <w:rFonts w:ascii="Georgia" w:hAnsi="Georgia"/>
          <w:color w:val="222222"/>
          <w:sz w:val="27"/>
          <w:szCs w:val="27"/>
          <w:shd w:val="clear" w:color="auto" w:fill="FFFFFF"/>
        </w:rPr>
        <w:t xml:space="preserve"> </w:t>
      </w:r>
      <w:r w:rsidRPr="009169AF">
        <w:rPr>
          <w:rFonts w:ascii="Georgia" w:hAnsi="Georgia"/>
          <w:color w:val="222222"/>
          <w:sz w:val="27"/>
          <w:szCs w:val="27"/>
          <w:shd w:val="clear" w:color="auto" w:fill="FFFFFF"/>
        </w:rPr>
        <w:t>historic form, fabric or function of the building.</w:t>
      </w:r>
    </w:p>
    <w:p w14:paraId="1666665F" w14:textId="77777777" w:rsidR="00C21B0D" w:rsidRDefault="00C21B0D" w:rsidP="00C21B0D">
      <w:pPr>
        <w:shd w:val="clear" w:color="auto" w:fill="FFFFFF"/>
        <w:rPr>
          <w:rFonts w:ascii="Georgia" w:hAnsi="Georgia"/>
          <w:color w:val="222222"/>
          <w:sz w:val="27"/>
          <w:szCs w:val="27"/>
          <w:shd w:val="clear" w:color="auto" w:fill="FFFFFF"/>
        </w:rPr>
      </w:pPr>
    </w:p>
    <w:p w14:paraId="7172167C" w14:textId="77777777" w:rsidR="00C21B0D" w:rsidRDefault="00C21B0D" w:rsidP="00C21B0D">
      <w:pPr>
        <w:shd w:val="clear" w:color="auto" w:fill="FFFFFF"/>
        <w:rPr>
          <w:rFonts w:ascii="Georgia" w:hAnsi="Georgia"/>
          <w:color w:val="222222"/>
          <w:sz w:val="27"/>
          <w:szCs w:val="27"/>
          <w:shd w:val="clear" w:color="auto" w:fill="FFFFFF"/>
        </w:rPr>
      </w:pPr>
    </w:p>
    <w:p w14:paraId="40D59A4B" w14:textId="77777777" w:rsidR="00C21B0D" w:rsidRPr="00BF3788" w:rsidRDefault="00C21B0D" w:rsidP="00C21B0D">
      <w:pPr>
        <w:shd w:val="clear" w:color="auto" w:fill="FFFFFF"/>
        <w:rPr>
          <w:rFonts w:ascii="Georgia" w:hAnsi="Georgia"/>
          <w:color w:val="222222"/>
          <w:sz w:val="27"/>
          <w:szCs w:val="27"/>
          <w:shd w:val="clear" w:color="auto" w:fill="FFFFFF"/>
        </w:rPr>
      </w:pPr>
      <w:r w:rsidRPr="00BF3788">
        <w:rPr>
          <w:rFonts w:ascii="Georgia" w:hAnsi="Georgia"/>
          <w:color w:val="222222"/>
          <w:sz w:val="27"/>
          <w:szCs w:val="27"/>
          <w:shd w:val="clear" w:color="auto" w:fill="FFFFFF"/>
        </w:rPr>
        <w:lastRenderedPageBreak/>
        <w:t>For the Passive House pathway, the Specialized Code add</w:t>
      </w:r>
      <w:r>
        <w:rPr>
          <w:rFonts w:ascii="Georgia" w:hAnsi="Georgia"/>
          <w:color w:val="222222"/>
          <w:sz w:val="27"/>
          <w:szCs w:val="27"/>
          <w:shd w:val="clear" w:color="auto" w:fill="FFFFFF"/>
        </w:rPr>
        <w:t>s</w:t>
      </w:r>
      <w:r w:rsidRPr="00BF3788">
        <w:rPr>
          <w:rFonts w:ascii="Georgia" w:hAnsi="Georgia"/>
          <w:color w:val="222222"/>
          <w:sz w:val="27"/>
          <w:szCs w:val="27"/>
          <w:shd w:val="clear" w:color="auto" w:fill="FFFFFF"/>
        </w:rPr>
        <w:t xml:space="preserve"> a requirement to net out energy use on an annual basis with renewable energy. The Specialized Code excludes contracts for Renewable Energy Credits (RECs) or off-site Renewable Energy Sources which are otherwise allowed under the </w:t>
      </w:r>
      <w:proofErr w:type="spellStart"/>
      <w:r w:rsidRPr="00BF3788">
        <w:rPr>
          <w:rFonts w:ascii="Georgia" w:hAnsi="Georgia"/>
          <w:color w:val="222222"/>
          <w:sz w:val="27"/>
          <w:szCs w:val="27"/>
          <w:shd w:val="clear" w:color="auto" w:fill="FFFFFF"/>
        </w:rPr>
        <w:t>Phius</w:t>
      </w:r>
      <w:proofErr w:type="spellEnd"/>
      <w:r w:rsidRPr="00BF3788">
        <w:rPr>
          <w:rFonts w:ascii="Georgia" w:hAnsi="Georgia"/>
          <w:color w:val="222222"/>
          <w:sz w:val="27"/>
          <w:szCs w:val="27"/>
          <w:shd w:val="clear" w:color="auto" w:fill="FFFFFF"/>
        </w:rPr>
        <w:t xml:space="preserve"> ZERO certification.</w:t>
      </w:r>
    </w:p>
    <w:p w14:paraId="5D8D03D7" w14:textId="77777777" w:rsidR="00C21B0D" w:rsidRDefault="00C21B0D" w:rsidP="00C21B0D">
      <w:pPr>
        <w:shd w:val="clear" w:color="auto" w:fill="FFFFFF"/>
        <w:rPr>
          <w:rFonts w:ascii="Georgia" w:hAnsi="Georgia"/>
          <w:color w:val="222222"/>
          <w:sz w:val="27"/>
          <w:szCs w:val="27"/>
          <w:shd w:val="clear" w:color="auto" w:fill="FFFFFF"/>
        </w:rPr>
      </w:pPr>
    </w:p>
    <w:p w14:paraId="05D92BB9"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SECTION R502 ADDITIONS.</w:t>
      </w:r>
    </w:p>
    <w:p w14:paraId="776EF8CC"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R502.1 Revise Subsection R502.2 by replacing the third and fourth sentence as follows:</w:t>
      </w:r>
    </w:p>
    <w:p w14:paraId="774BAAD5"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An addition shall be deemed to comply with this code where the addition alone complies, where</w:t>
      </w:r>
      <w:r>
        <w:rPr>
          <w:rFonts w:ascii="Georgia" w:hAnsi="Georgia"/>
          <w:color w:val="222222"/>
          <w:sz w:val="27"/>
          <w:szCs w:val="27"/>
          <w:shd w:val="clear" w:color="auto" w:fill="FFFFFF"/>
        </w:rPr>
        <w:t xml:space="preserve"> </w:t>
      </w:r>
      <w:r w:rsidRPr="008D2D8B">
        <w:rPr>
          <w:rFonts w:ascii="Georgia" w:hAnsi="Georgia"/>
          <w:color w:val="222222"/>
          <w:sz w:val="27"/>
          <w:szCs w:val="27"/>
          <w:shd w:val="clear" w:color="auto" w:fill="FFFFFF"/>
        </w:rPr>
        <w:t>the existing building and addition comply with this code as a single building, or where the</w:t>
      </w:r>
    </w:p>
    <w:p w14:paraId="2CE5AFFB"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building with the addition achieves a certified HERS rating in accordance with Table R406.5.</w:t>
      </w:r>
    </w:p>
    <w:p w14:paraId="029CFABE"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Additions shall be in accordance with Section R502.1.1, R502.2 or R502.3.</w:t>
      </w:r>
    </w:p>
    <w:p w14:paraId="5B4BF43C" w14:textId="77777777" w:rsidR="00C21B0D" w:rsidRPr="008D2D8B"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R502.1.1 Add Subsection R502.1.1 as follows:</w:t>
      </w:r>
    </w:p>
    <w:p w14:paraId="0BE577E5" w14:textId="77777777" w:rsidR="00C21B0D" w:rsidRDefault="00C21B0D" w:rsidP="00C21B0D">
      <w:pPr>
        <w:shd w:val="clear" w:color="auto" w:fill="FFFFFF"/>
        <w:rPr>
          <w:rFonts w:ascii="Georgia" w:hAnsi="Georgia"/>
          <w:color w:val="222222"/>
          <w:sz w:val="27"/>
          <w:szCs w:val="27"/>
          <w:shd w:val="clear" w:color="auto" w:fill="FFFFFF"/>
        </w:rPr>
      </w:pPr>
      <w:r w:rsidRPr="008D2D8B">
        <w:rPr>
          <w:rFonts w:ascii="Georgia" w:hAnsi="Georgia"/>
          <w:color w:val="222222"/>
          <w:sz w:val="27"/>
          <w:szCs w:val="27"/>
          <w:shd w:val="clear" w:color="auto" w:fill="FFFFFF"/>
        </w:rPr>
        <w:t xml:space="preserve">R502.1.1 Large additions. Additions to a dwelling unit exceeding 1,000 </w:t>
      </w:r>
      <w:proofErr w:type="spellStart"/>
      <w:r w:rsidRPr="008D2D8B">
        <w:rPr>
          <w:rFonts w:ascii="Georgia" w:hAnsi="Georgia"/>
          <w:color w:val="222222"/>
          <w:sz w:val="27"/>
          <w:szCs w:val="27"/>
          <w:shd w:val="clear" w:color="auto" w:fill="FFFFFF"/>
        </w:rPr>
        <w:t>sq</w:t>
      </w:r>
      <w:proofErr w:type="spellEnd"/>
      <w:r w:rsidRPr="008D2D8B">
        <w:rPr>
          <w:rFonts w:ascii="Georgia" w:hAnsi="Georgia"/>
          <w:color w:val="222222"/>
          <w:sz w:val="27"/>
          <w:szCs w:val="27"/>
          <w:shd w:val="clear" w:color="auto" w:fill="FFFFFF"/>
        </w:rPr>
        <w:t xml:space="preserve"> ft or exceeding</w:t>
      </w:r>
      <w:r>
        <w:rPr>
          <w:rFonts w:ascii="Georgia" w:hAnsi="Georgia"/>
          <w:color w:val="222222"/>
          <w:sz w:val="27"/>
          <w:szCs w:val="27"/>
          <w:shd w:val="clear" w:color="auto" w:fill="FFFFFF"/>
        </w:rPr>
        <w:t xml:space="preserve"> </w:t>
      </w:r>
      <w:r w:rsidRPr="008D2D8B">
        <w:rPr>
          <w:rFonts w:ascii="Georgia" w:hAnsi="Georgia"/>
          <w:color w:val="222222"/>
          <w:sz w:val="27"/>
          <w:szCs w:val="27"/>
          <w:shd w:val="clear" w:color="auto" w:fill="FFFFFF"/>
        </w:rPr>
        <w:t>100% of the existing conditioned floor area, shall require the dwelling unit to comply with the</w:t>
      </w:r>
      <w:r>
        <w:rPr>
          <w:rFonts w:ascii="Georgia" w:hAnsi="Georgia"/>
          <w:color w:val="222222"/>
          <w:sz w:val="27"/>
          <w:szCs w:val="27"/>
          <w:shd w:val="clear" w:color="auto" w:fill="FFFFFF"/>
        </w:rPr>
        <w:t xml:space="preserve"> </w:t>
      </w:r>
      <w:r w:rsidRPr="008D2D8B">
        <w:rPr>
          <w:rFonts w:ascii="Georgia" w:hAnsi="Georgia"/>
          <w:color w:val="222222"/>
          <w:sz w:val="27"/>
          <w:szCs w:val="27"/>
          <w:shd w:val="clear" w:color="auto" w:fill="FFFFFF"/>
        </w:rPr>
        <w:t>maximum HERS ratings for alterations, additions or change of use shown in TABLE R406.5.</w:t>
      </w:r>
    </w:p>
    <w:p w14:paraId="7D354B5A" w14:textId="77777777" w:rsidR="00C21B0D" w:rsidRDefault="00C21B0D" w:rsidP="00C21B0D">
      <w:pPr>
        <w:shd w:val="clear" w:color="auto" w:fill="FFFFFF"/>
        <w:rPr>
          <w:rFonts w:ascii="Georgia" w:hAnsi="Georgia"/>
          <w:color w:val="222222"/>
          <w:sz w:val="27"/>
          <w:szCs w:val="27"/>
          <w:shd w:val="clear" w:color="auto" w:fill="FFFFFF"/>
        </w:rPr>
      </w:pPr>
    </w:p>
    <w:p w14:paraId="0098C09F" w14:textId="77777777" w:rsidR="00C21B0D" w:rsidRPr="00275991" w:rsidRDefault="00C21B0D" w:rsidP="00C21B0D">
      <w:pPr>
        <w:shd w:val="clear" w:color="auto" w:fill="FFFFFF"/>
        <w:rPr>
          <w:rFonts w:ascii="Georgia" w:hAnsi="Georgia"/>
          <w:color w:val="222222"/>
          <w:sz w:val="27"/>
          <w:szCs w:val="27"/>
          <w:shd w:val="clear" w:color="auto" w:fill="FFFFFF"/>
        </w:rPr>
      </w:pPr>
      <w:r w:rsidRPr="00275991">
        <w:rPr>
          <w:rFonts w:ascii="Georgia" w:hAnsi="Georgia"/>
          <w:color w:val="222222"/>
          <w:sz w:val="27"/>
          <w:szCs w:val="27"/>
          <w:shd w:val="clear" w:color="auto" w:fill="FFFFFF"/>
        </w:rPr>
        <w:t>Level 3 Alterations (over 50% of the home is renovated and reconfigured) as defined in</w:t>
      </w:r>
      <w:r>
        <w:rPr>
          <w:rFonts w:ascii="Georgia" w:hAnsi="Georgia"/>
          <w:color w:val="222222"/>
          <w:sz w:val="27"/>
          <w:szCs w:val="27"/>
          <w:shd w:val="clear" w:color="auto" w:fill="FFFFFF"/>
        </w:rPr>
        <w:t xml:space="preserve"> </w:t>
      </w:r>
      <w:r w:rsidRPr="00275991">
        <w:rPr>
          <w:rFonts w:ascii="Georgia" w:hAnsi="Georgia"/>
          <w:color w:val="222222"/>
          <w:sz w:val="27"/>
          <w:szCs w:val="27"/>
          <w:shd w:val="clear" w:color="auto" w:fill="FFFFFF"/>
        </w:rPr>
        <w:t>the International Existing Building Code (IEBC 2021) must meet the HERS requirements</w:t>
      </w:r>
      <w:r>
        <w:rPr>
          <w:rFonts w:ascii="Georgia" w:hAnsi="Georgia"/>
          <w:color w:val="222222"/>
          <w:sz w:val="27"/>
          <w:szCs w:val="27"/>
          <w:shd w:val="clear" w:color="auto" w:fill="FFFFFF"/>
        </w:rPr>
        <w:t xml:space="preserve"> </w:t>
      </w:r>
      <w:r w:rsidRPr="00275991">
        <w:rPr>
          <w:rFonts w:ascii="Georgia" w:hAnsi="Georgia"/>
          <w:color w:val="222222"/>
          <w:sz w:val="27"/>
          <w:szCs w:val="27"/>
          <w:shd w:val="clear" w:color="auto" w:fill="FFFFFF"/>
        </w:rPr>
        <w:t>in Table 1 above. Level 1 and Level 2 alterations will continue to follow the Base Energy</w:t>
      </w:r>
    </w:p>
    <w:p w14:paraId="7F22503A" w14:textId="77777777" w:rsidR="00C21B0D" w:rsidRDefault="00C21B0D" w:rsidP="00C21B0D">
      <w:pPr>
        <w:shd w:val="clear" w:color="auto" w:fill="FFFFFF"/>
        <w:rPr>
          <w:rFonts w:ascii="Georgia" w:hAnsi="Georgia"/>
          <w:color w:val="222222"/>
          <w:sz w:val="27"/>
          <w:szCs w:val="27"/>
          <w:shd w:val="clear" w:color="auto" w:fill="FFFFFF"/>
        </w:rPr>
      </w:pPr>
      <w:r w:rsidRPr="00275991">
        <w:rPr>
          <w:rFonts w:ascii="Georgia" w:hAnsi="Georgia"/>
          <w:color w:val="222222"/>
          <w:sz w:val="27"/>
          <w:szCs w:val="27"/>
          <w:shd w:val="clear" w:color="auto" w:fill="FFFFFF"/>
        </w:rPr>
        <w:t>Code.</w:t>
      </w:r>
    </w:p>
    <w:p w14:paraId="626CB150"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Average home in MA 1800sqft</w:t>
      </w:r>
    </w:p>
    <w:p w14:paraId="7EDB332F" w14:textId="77777777" w:rsidR="00C21B0D" w:rsidRDefault="00C21B0D" w:rsidP="00C21B0D">
      <w:pPr>
        <w:shd w:val="clear" w:color="auto" w:fill="FFFFFF"/>
        <w:rPr>
          <w:rFonts w:ascii="Georgia" w:hAnsi="Georgia"/>
          <w:color w:val="222222"/>
          <w:sz w:val="27"/>
          <w:szCs w:val="27"/>
          <w:shd w:val="clear" w:color="auto" w:fill="FFFFFF"/>
        </w:rPr>
      </w:pPr>
      <w:r>
        <w:rPr>
          <w:rFonts w:ascii="Georgia" w:hAnsi="Georgia"/>
          <w:color w:val="222222"/>
          <w:sz w:val="27"/>
          <w:szCs w:val="27"/>
          <w:shd w:val="clear" w:color="auto" w:fill="FFFFFF"/>
        </w:rPr>
        <w:t>Cost of construction in MA $280-$350/</w:t>
      </w:r>
      <w:proofErr w:type="spellStart"/>
      <w:r>
        <w:rPr>
          <w:rFonts w:ascii="Georgia" w:hAnsi="Georgia"/>
          <w:color w:val="222222"/>
          <w:sz w:val="27"/>
          <w:szCs w:val="27"/>
          <w:shd w:val="clear" w:color="auto" w:fill="FFFFFF"/>
        </w:rPr>
        <w:t>sqft</w:t>
      </w:r>
      <w:proofErr w:type="spellEnd"/>
    </w:p>
    <w:p w14:paraId="3A478C35" w14:textId="77777777" w:rsidR="00C21B0D" w:rsidRPr="00986DCB" w:rsidRDefault="00C21B0D" w:rsidP="00C21B0D">
      <w:pPr>
        <w:shd w:val="clear" w:color="auto" w:fill="FFFFFF"/>
        <w:rPr>
          <w:rFonts w:ascii="Helvetica" w:hAnsi="Helvetica" w:cs="Helvetica"/>
          <w:color w:val="333333"/>
        </w:rPr>
      </w:pPr>
    </w:p>
    <w:p w14:paraId="65DAAA17"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Topics for State Reps:</w:t>
      </w:r>
    </w:p>
    <w:p w14:paraId="10BC1039" w14:textId="77777777" w:rsidR="00C21B0D" w:rsidRDefault="00C21B0D" w:rsidP="00C21B0D">
      <w:pPr>
        <w:pStyle w:val="NormalWeb"/>
        <w:numPr>
          <w:ilvl w:val="0"/>
          <w:numId w:val="4"/>
        </w:numPr>
        <w:suppressAutoHyphens w:val="0"/>
        <w:spacing w:before="0" w:after="0"/>
        <w:textAlignment w:val="baseline"/>
        <w:rPr>
          <w:rFonts w:ascii="Arial" w:hAnsi="Arial" w:cs="Arial"/>
          <w:color w:val="000000"/>
        </w:rPr>
      </w:pPr>
      <w:r>
        <w:rPr>
          <w:rFonts w:ascii="Arial" w:hAnsi="Arial" w:cs="Arial"/>
          <w:color w:val="000000"/>
        </w:rPr>
        <w:t>Aggregation and Community solar, why is combining them being held up?</w:t>
      </w:r>
    </w:p>
    <w:p w14:paraId="19C70259" w14:textId="77777777" w:rsidR="00C21B0D" w:rsidRDefault="00C21B0D" w:rsidP="00C21B0D">
      <w:pPr>
        <w:pStyle w:val="NormalWeb"/>
        <w:numPr>
          <w:ilvl w:val="0"/>
          <w:numId w:val="4"/>
        </w:numPr>
        <w:suppressAutoHyphens w:val="0"/>
        <w:spacing w:before="0" w:after="0"/>
        <w:textAlignment w:val="baseline"/>
        <w:rPr>
          <w:rFonts w:ascii="Arial" w:hAnsi="Arial" w:cs="Arial"/>
          <w:color w:val="000000"/>
        </w:rPr>
      </w:pPr>
      <w:r>
        <w:rPr>
          <w:rFonts w:ascii="Arial" w:hAnsi="Arial" w:cs="Arial"/>
          <w:color w:val="000000"/>
        </w:rPr>
        <w:t xml:space="preserve">Solar on Commuter Rail Platform and lots.  We were told ~10yrs ago a system wide plan was in the works.  Where is it?  Can NBPT be a pilot: utility line crosses it, lots </w:t>
      </w:r>
      <w:proofErr w:type="spellStart"/>
      <w:r>
        <w:rPr>
          <w:rFonts w:ascii="Arial" w:hAnsi="Arial" w:cs="Arial"/>
          <w:color w:val="000000"/>
        </w:rPr>
        <w:t>under utilized</w:t>
      </w:r>
      <w:proofErr w:type="spellEnd"/>
      <w:r>
        <w:rPr>
          <w:rFonts w:ascii="Arial" w:hAnsi="Arial" w:cs="Arial"/>
          <w:color w:val="000000"/>
        </w:rPr>
        <w:t>, next to ~180 units of housing and an industrial park.</w:t>
      </w:r>
    </w:p>
    <w:p w14:paraId="02B1C72F" w14:textId="77777777" w:rsidR="00C21B0D" w:rsidRDefault="00C21B0D" w:rsidP="00C21B0D">
      <w:pPr>
        <w:pStyle w:val="NormalWeb"/>
        <w:numPr>
          <w:ilvl w:val="0"/>
          <w:numId w:val="4"/>
        </w:numPr>
        <w:suppressAutoHyphens w:val="0"/>
        <w:spacing w:before="0" w:after="0"/>
        <w:textAlignment w:val="baseline"/>
        <w:rPr>
          <w:rFonts w:ascii="Arial" w:hAnsi="Arial" w:cs="Arial"/>
          <w:color w:val="000000"/>
        </w:rPr>
      </w:pPr>
      <w:r>
        <w:rPr>
          <w:rFonts w:ascii="Arial" w:hAnsi="Arial" w:cs="Arial"/>
          <w:color w:val="000000"/>
        </w:rPr>
        <w:t>Graf Rink, under DCR control.  Why no solar on roof and parking lots?</w:t>
      </w:r>
    </w:p>
    <w:p w14:paraId="7933080C" w14:textId="77777777" w:rsidR="00C21B0D" w:rsidRDefault="00C21B0D" w:rsidP="00C21B0D">
      <w:pPr>
        <w:pStyle w:val="NormalWeb"/>
        <w:numPr>
          <w:ilvl w:val="0"/>
          <w:numId w:val="4"/>
        </w:numPr>
        <w:suppressAutoHyphens w:val="0"/>
        <w:spacing w:before="0" w:after="0"/>
        <w:textAlignment w:val="baseline"/>
        <w:rPr>
          <w:rFonts w:ascii="Arial" w:hAnsi="Arial" w:cs="Arial"/>
          <w:color w:val="000000"/>
        </w:rPr>
      </w:pPr>
      <w:r>
        <w:rPr>
          <w:rFonts w:ascii="Arial" w:hAnsi="Arial" w:cs="Arial"/>
          <w:color w:val="000000"/>
        </w:rPr>
        <w:t>Commuter parking lot, old C&amp;J, what will it be?</w:t>
      </w:r>
    </w:p>
    <w:p w14:paraId="35C8BA7C" w14:textId="77777777" w:rsidR="00C21B0D" w:rsidRDefault="00C21B0D" w:rsidP="00C21B0D">
      <w:pPr>
        <w:pStyle w:val="NormalWeb"/>
        <w:numPr>
          <w:ilvl w:val="0"/>
          <w:numId w:val="4"/>
        </w:numPr>
        <w:suppressAutoHyphens w:val="0"/>
        <w:spacing w:before="0" w:after="0"/>
        <w:textAlignment w:val="baseline"/>
        <w:rPr>
          <w:rFonts w:ascii="Arial" w:hAnsi="Arial" w:cs="Arial"/>
          <w:color w:val="000000"/>
        </w:rPr>
      </w:pPr>
      <w:r>
        <w:rPr>
          <w:rFonts w:ascii="Arial" w:hAnsi="Arial" w:cs="Arial"/>
          <w:color w:val="000000"/>
        </w:rPr>
        <w:t xml:space="preserve">GHG accounting.  State does macro accounting.  Each town is on their own.  MPCC has tool.  Can state annually just provide each town with the GHG info they have.  EG vehicles: all vehicles registered in a town or </w:t>
      </w:r>
      <w:proofErr w:type="spellStart"/>
      <w:r>
        <w:rPr>
          <w:rFonts w:ascii="Arial" w:hAnsi="Arial" w:cs="Arial"/>
          <w:color w:val="000000"/>
        </w:rPr>
        <w:t>zipcode</w:t>
      </w:r>
      <w:proofErr w:type="spellEnd"/>
      <w:r>
        <w:rPr>
          <w:rFonts w:ascii="Arial" w:hAnsi="Arial" w:cs="Arial"/>
          <w:color w:val="000000"/>
        </w:rPr>
        <w:t xml:space="preserve">, with mileage info (from </w:t>
      </w:r>
      <w:proofErr w:type="spellStart"/>
      <w:r>
        <w:rPr>
          <w:rFonts w:ascii="Arial" w:hAnsi="Arial" w:cs="Arial"/>
          <w:color w:val="000000"/>
        </w:rPr>
        <w:t>epa</w:t>
      </w:r>
      <w:proofErr w:type="spellEnd"/>
      <w:r>
        <w:rPr>
          <w:rFonts w:ascii="Arial" w:hAnsi="Arial" w:cs="Arial"/>
          <w:color w:val="000000"/>
        </w:rPr>
        <w:t>) and miles traveled (from inspection data).</w:t>
      </w:r>
    </w:p>
    <w:p w14:paraId="70A6F6D8" w14:textId="77777777" w:rsidR="00C21B0D" w:rsidRDefault="00C21B0D" w:rsidP="00C21B0D">
      <w:pPr>
        <w:pStyle w:val="NormalWeb"/>
        <w:suppressAutoHyphens w:val="0"/>
        <w:spacing w:before="0" w:after="0"/>
        <w:textAlignment w:val="baseline"/>
        <w:rPr>
          <w:rFonts w:ascii="Arial" w:hAnsi="Arial" w:cs="Arial"/>
          <w:color w:val="000000"/>
        </w:rPr>
      </w:pPr>
    </w:p>
    <w:p w14:paraId="5058A777" w14:textId="77777777" w:rsidR="00C21B0D" w:rsidRDefault="00C21B0D" w:rsidP="00C21B0D">
      <w:pPr>
        <w:pStyle w:val="NormalWeb"/>
        <w:suppressAutoHyphens w:val="0"/>
        <w:spacing w:before="0" w:after="0"/>
        <w:textAlignment w:val="baseline"/>
        <w:rPr>
          <w:rFonts w:ascii="Arial" w:hAnsi="Arial" w:cs="Arial"/>
          <w:color w:val="000000"/>
        </w:rPr>
      </w:pPr>
    </w:p>
    <w:p w14:paraId="741D68C1" w14:textId="77777777" w:rsidR="00C21B0D" w:rsidRDefault="00C21B0D" w:rsidP="00C21B0D">
      <w:pPr>
        <w:pStyle w:val="NormalWeb"/>
        <w:suppressAutoHyphens w:val="0"/>
        <w:spacing w:before="0" w:after="0"/>
        <w:textAlignment w:val="baseline"/>
        <w:rPr>
          <w:rFonts w:ascii="Arial" w:hAnsi="Arial" w:cs="Arial"/>
          <w:color w:val="000000"/>
        </w:rPr>
      </w:pPr>
    </w:p>
    <w:p w14:paraId="27489CDD"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For new homes maybe extra $150K on a $1.7-2MM but can pay for itself</w:t>
      </w:r>
    </w:p>
    <w:p w14:paraId="27B6A1BA"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 xml:space="preserve">Fire places required by HERS rating.  In </w:t>
      </w:r>
      <w:proofErr w:type="gramStart"/>
      <w:r>
        <w:rPr>
          <w:rFonts w:ascii="Arial" w:hAnsi="Arial" w:cs="Arial"/>
          <w:color w:val="000000"/>
        </w:rPr>
        <w:t>general</w:t>
      </w:r>
      <w:proofErr w:type="gramEnd"/>
      <w:r>
        <w:rPr>
          <w:rFonts w:ascii="Arial" w:hAnsi="Arial" w:cs="Arial"/>
          <w:color w:val="000000"/>
        </w:rPr>
        <w:t xml:space="preserve"> requires HERS Rating.</w:t>
      </w:r>
    </w:p>
    <w:p w14:paraId="24673570" w14:textId="77777777" w:rsidR="00C21B0D" w:rsidRDefault="00C21B0D" w:rsidP="00C21B0D">
      <w:pPr>
        <w:pStyle w:val="NormalWeb"/>
        <w:suppressAutoHyphens w:val="0"/>
        <w:spacing w:before="0" w:after="0"/>
        <w:textAlignment w:val="baseline"/>
        <w:rPr>
          <w:rFonts w:ascii="Arial" w:hAnsi="Arial" w:cs="Arial"/>
          <w:color w:val="000000"/>
        </w:rPr>
      </w:pPr>
    </w:p>
    <w:p w14:paraId="2679CD80"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 xml:space="preserve">John </w:t>
      </w:r>
      <w:proofErr w:type="gramStart"/>
      <w:r>
        <w:rPr>
          <w:rFonts w:ascii="Arial" w:hAnsi="Arial" w:cs="Arial"/>
          <w:color w:val="000000"/>
        </w:rPr>
        <w:t>Snell,  Draft</w:t>
      </w:r>
      <w:proofErr w:type="gramEnd"/>
      <w:r>
        <w:rPr>
          <w:rFonts w:ascii="Arial" w:hAnsi="Arial" w:cs="Arial"/>
          <w:color w:val="000000"/>
        </w:rPr>
        <w:t xml:space="preserve"> report #3</w:t>
      </w:r>
    </w:p>
    <w:p w14:paraId="29CD69BD"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 xml:space="preserve">   Grants for schools, DOE</w:t>
      </w:r>
    </w:p>
    <w:p w14:paraId="485E4104"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DOE and DOER will be partners</w:t>
      </w:r>
    </w:p>
    <w:p w14:paraId="62F1099F"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Electric will need to be ~2X from now maybe larger.</w:t>
      </w:r>
    </w:p>
    <w:p w14:paraId="540B0A6D"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lastRenderedPageBreak/>
        <w:t>ISONE worst case is 3X</w:t>
      </w:r>
    </w:p>
    <w:p w14:paraId="469BE67E"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Easiest would be to procure renewable energy and chip away at what buildings need to do.</w:t>
      </w:r>
    </w:p>
    <w:p w14:paraId="65E64304"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 xml:space="preserve">Really beyond low hanging fruit and need a holistic approach.  </w:t>
      </w:r>
      <w:proofErr w:type="gramStart"/>
      <w:r>
        <w:rPr>
          <w:rFonts w:ascii="Arial" w:hAnsi="Arial" w:cs="Arial"/>
          <w:color w:val="000000"/>
        </w:rPr>
        <w:t>Therefore  need</w:t>
      </w:r>
      <w:proofErr w:type="gramEnd"/>
      <w:r>
        <w:rPr>
          <w:rFonts w:ascii="Arial" w:hAnsi="Arial" w:cs="Arial"/>
          <w:color w:val="000000"/>
        </w:rPr>
        <w:t xml:space="preserve"> a bunch of $$ grants, incentives, to make it work.  So </w:t>
      </w:r>
      <w:proofErr w:type="spellStart"/>
      <w:r>
        <w:rPr>
          <w:rFonts w:ascii="Arial" w:hAnsi="Arial" w:cs="Arial"/>
          <w:color w:val="000000"/>
        </w:rPr>
        <w:t>Escos</w:t>
      </w:r>
      <w:proofErr w:type="spellEnd"/>
      <w:r>
        <w:rPr>
          <w:rFonts w:ascii="Arial" w:hAnsi="Arial" w:cs="Arial"/>
          <w:color w:val="000000"/>
        </w:rPr>
        <w:t xml:space="preserve"> can still be effective.</w:t>
      </w:r>
    </w:p>
    <w:p w14:paraId="4DA5E916" w14:textId="77777777" w:rsidR="00C21B0D" w:rsidRDefault="00C21B0D" w:rsidP="00C21B0D">
      <w:pPr>
        <w:pStyle w:val="NormalWeb"/>
        <w:suppressAutoHyphens w:val="0"/>
        <w:spacing w:before="0" w:after="0"/>
        <w:textAlignment w:val="baseline"/>
        <w:rPr>
          <w:rFonts w:ascii="Arial" w:hAnsi="Arial" w:cs="Arial"/>
          <w:color w:val="000000"/>
        </w:rPr>
      </w:pPr>
    </w:p>
    <w:p w14:paraId="70EBDBC3"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For Schools, do community wide solar carve out demand management.  This needs higher level than just putting in a system.</w:t>
      </w:r>
    </w:p>
    <w:p w14:paraId="235AC1D3" w14:textId="77777777" w:rsidR="00C21B0D" w:rsidRDefault="00C21B0D" w:rsidP="00C21B0D">
      <w:pPr>
        <w:pStyle w:val="NormalWeb"/>
        <w:suppressAutoHyphens w:val="0"/>
        <w:spacing w:before="0" w:after="0"/>
        <w:textAlignment w:val="baseline"/>
        <w:rPr>
          <w:rFonts w:ascii="Arial" w:hAnsi="Arial" w:cs="Arial"/>
          <w:color w:val="000000"/>
        </w:rPr>
      </w:pPr>
    </w:p>
    <w:p w14:paraId="6BCA8A66"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EV charger roadmap</w:t>
      </w:r>
    </w:p>
    <w:p w14:paraId="542C6796" w14:textId="77777777" w:rsidR="00C21B0D" w:rsidRDefault="00C21B0D" w:rsidP="00C21B0D">
      <w:pPr>
        <w:pStyle w:val="NormalWeb"/>
        <w:suppressAutoHyphens w:val="0"/>
        <w:spacing w:before="0" w:after="0"/>
        <w:textAlignment w:val="baseline"/>
        <w:rPr>
          <w:rFonts w:ascii="Arial" w:hAnsi="Arial" w:cs="Arial"/>
          <w:color w:val="000000"/>
        </w:rPr>
      </w:pPr>
    </w:p>
    <w:p w14:paraId="468EBB23"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Streetlight combinations.</w:t>
      </w:r>
    </w:p>
    <w:p w14:paraId="6CADF8CA"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MVPC EV charger tool.</w:t>
      </w:r>
    </w:p>
    <w:p w14:paraId="692E5DBC"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We need 192 charging stations by 2030</w:t>
      </w:r>
    </w:p>
    <w:p w14:paraId="32CED4FB" w14:textId="77777777" w:rsidR="00C21B0D" w:rsidRDefault="00C21B0D" w:rsidP="00C21B0D">
      <w:pPr>
        <w:pStyle w:val="NormalWeb"/>
        <w:suppressAutoHyphens w:val="0"/>
        <w:spacing w:before="0" w:after="0"/>
        <w:textAlignment w:val="baseline"/>
        <w:rPr>
          <w:rFonts w:ascii="Arial" w:hAnsi="Arial" w:cs="Arial"/>
          <w:color w:val="000000"/>
        </w:rPr>
      </w:pPr>
      <w:r>
        <w:rPr>
          <w:rFonts w:ascii="Arial" w:hAnsi="Arial" w:cs="Arial"/>
          <w:color w:val="000000"/>
        </w:rPr>
        <w:t>Company owned by shell (</w:t>
      </w:r>
      <w:proofErr w:type="spellStart"/>
      <w:r>
        <w:rPr>
          <w:rFonts w:ascii="Arial" w:hAnsi="Arial" w:cs="Arial"/>
          <w:color w:val="000000"/>
        </w:rPr>
        <w:t>Ubercity</w:t>
      </w:r>
      <w:proofErr w:type="spellEnd"/>
      <w:r>
        <w:rPr>
          <w:rFonts w:ascii="Arial" w:hAnsi="Arial" w:cs="Arial"/>
          <w:color w:val="000000"/>
        </w:rPr>
        <w:t>?) decorative street light/</w:t>
      </w:r>
      <w:proofErr w:type="spellStart"/>
      <w:r>
        <w:rPr>
          <w:rFonts w:ascii="Arial" w:hAnsi="Arial" w:cs="Arial"/>
          <w:color w:val="000000"/>
        </w:rPr>
        <w:t>ev</w:t>
      </w:r>
      <w:proofErr w:type="spellEnd"/>
      <w:r>
        <w:rPr>
          <w:rFonts w:ascii="Arial" w:hAnsi="Arial" w:cs="Arial"/>
          <w:color w:val="000000"/>
        </w:rPr>
        <w:t xml:space="preserve"> charger combo in England</w:t>
      </w:r>
    </w:p>
    <w:p w14:paraId="43CD794D" w14:textId="77777777" w:rsidR="00C21B0D" w:rsidRDefault="00C21B0D" w:rsidP="00C21B0D">
      <w:pPr>
        <w:pStyle w:val="NormalWeb"/>
        <w:suppressAutoHyphens w:val="0"/>
        <w:spacing w:before="0" w:after="0"/>
        <w:textAlignment w:val="baseline"/>
        <w:rPr>
          <w:rFonts w:ascii="Arial" w:hAnsi="Arial" w:cs="Arial"/>
          <w:color w:val="000000"/>
        </w:rPr>
      </w:pPr>
    </w:p>
    <w:p w14:paraId="3CB349D4" w14:textId="77777777" w:rsidR="00C21B0D" w:rsidRDefault="00C21B0D" w:rsidP="00C21B0D">
      <w:pPr>
        <w:pStyle w:val="NormalWeb"/>
        <w:suppressAutoHyphens w:val="0"/>
        <w:spacing w:before="0" w:after="0"/>
        <w:textAlignment w:val="baseline"/>
        <w:rPr>
          <w:rFonts w:ascii="Arial" w:hAnsi="Arial" w:cs="Arial"/>
          <w:color w:val="000000"/>
        </w:rPr>
      </w:pPr>
      <w:proofErr w:type="spellStart"/>
      <w:r>
        <w:rPr>
          <w:rFonts w:ascii="Arial" w:hAnsi="Arial" w:cs="Arial"/>
          <w:color w:val="000000"/>
        </w:rPr>
        <w:t>MassEnergize</w:t>
      </w:r>
      <w:proofErr w:type="spellEnd"/>
      <w:r>
        <w:rPr>
          <w:rFonts w:ascii="Arial" w:hAnsi="Arial" w:cs="Arial"/>
          <w:color w:val="000000"/>
        </w:rPr>
        <w:t xml:space="preserve"> Ready to go!  Get link on city website</w:t>
      </w:r>
    </w:p>
    <w:p w14:paraId="77CAFCA1" w14:textId="77777777" w:rsidR="00C21B0D" w:rsidRPr="00C21B0D" w:rsidRDefault="00C21B0D">
      <w:pPr>
        <w:pStyle w:val="BodyText"/>
        <w:spacing w:before="1"/>
        <w:rPr>
          <w:b w:val="0"/>
          <w:bCs w:val="0"/>
          <w:i w:val="0"/>
          <w:iCs w:val="0"/>
          <w:sz w:val="24"/>
          <w:szCs w:val="24"/>
        </w:rPr>
      </w:pPr>
    </w:p>
    <w:sectPr w:rsidR="00C21B0D" w:rsidRPr="00C21B0D" w:rsidSect="00614D00">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A607" w14:textId="77777777" w:rsidR="004A658D" w:rsidRDefault="004A658D" w:rsidP="002021B0">
      <w:r>
        <w:separator/>
      </w:r>
    </w:p>
  </w:endnote>
  <w:endnote w:type="continuationSeparator" w:id="0">
    <w:p w14:paraId="5ED4D002" w14:textId="77777777" w:rsidR="004A658D" w:rsidRDefault="004A658D" w:rsidP="0020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D0B0" w14:textId="77777777" w:rsidR="002021B0" w:rsidRDefault="002021B0" w:rsidP="002021B0">
    <w:pPr>
      <w:spacing w:before="92"/>
      <w:ind w:left="100"/>
    </w:pPr>
    <w:r>
      <w:t>Revised</w:t>
    </w:r>
    <w:r>
      <w:rPr>
        <w:spacing w:val="-3"/>
      </w:rPr>
      <w:t xml:space="preserve"> </w:t>
    </w:r>
    <w:r>
      <w:t>Feb.</w:t>
    </w:r>
    <w:r>
      <w:rPr>
        <w:spacing w:val="-4"/>
      </w:rPr>
      <w:t xml:space="preserve"> 2023</w:t>
    </w:r>
  </w:p>
  <w:p w14:paraId="54FDAD14" w14:textId="77777777" w:rsidR="002021B0" w:rsidRDefault="0020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6897" w14:textId="77777777" w:rsidR="004A658D" w:rsidRDefault="004A658D" w:rsidP="002021B0">
      <w:r>
        <w:separator/>
      </w:r>
    </w:p>
  </w:footnote>
  <w:footnote w:type="continuationSeparator" w:id="0">
    <w:p w14:paraId="16B4A0B1" w14:textId="77777777" w:rsidR="004A658D" w:rsidRDefault="004A658D" w:rsidP="0020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08C"/>
    <w:multiLevelType w:val="hybridMultilevel"/>
    <w:tmpl w:val="E362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0456"/>
    <w:multiLevelType w:val="hybridMultilevel"/>
    <w:tmpl w:val="1F6E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34A55"/>
    <w:multiLevelType w:val="hybridMultilevel"/>
    <w:tmpl w:val="AE44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257A6"/>
    <w:multiLevelType w:val="hybridMultilevel"/>
    <w:tmpl w:val="ACFC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8F"/>
    <w:rsid w:val="000A3FB4"/>
    <w:rsid w:val="002021B0"/>
    <w:rsid w:val="002863CD"/>
    <w:rsid w:val="002C36D4"/>
    <w:rsid w:val="00367311"/>
    <w:rsid w:val="003E38F5"/>
    <w:rsid w:val="004A658D"/>
    <w:rsid w:val="00567BB7"/>
    <w:rsid w:val="0057608D"/>
    <w:rsid w:val="005E1F84"/>
    <w:rsid w:val="00614D00"/>
    <w:rsid w:val="00617BE3"/>
    <w:rsid w:val="0062654B"/>
    <w:rsid w:val="006575EE"/>
    <w:rsid w:val="0093638F"/>
    <w:rsid w:val="009916B1"/>
    <w:rsid w:val="00C21B0D"/>
    <w:rsid w:val="00CB1330"/>
    <w:rsid w:val="00CE7FD1"/>
    <w:rsid w:val="00D56F7F"/>
    <w:rsid w:val="00E1075E"/>
    <w:rsid w:val="00E25CE5"/>
    <w:rsid w:val="00F4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E4D6"/>
  <w15:docId w15:val="{86608308-180A-46A6-8594-CB1BC9F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61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1B0"/>
    <w:pPr>
      <w:tabs>
        <w:tab w:val="center" w:pos="4680"/>
        <w:tab w:val="right" w:pos="9360"/>
      </w:tabs>
    </w:pPr>
  </w:style>
  <w:style w:type="character" w:customStyle="1" w:styleId="HeaderChar">
    <w:name w:val="Header Char"/>
    <w:basedOn w:val="DefaultParagraphFont"/>
    <w:link w:val="Header"/>
    <w:uiPriority w:val="99"/>
    <w:rsid w:val="002021B0"/>
    <w:rPr>
      <w:rFonts w:ascii="Times New Roman" w:eastAsia="Times New Roman" w:hAnsi="Times New Roman" w:cs="Times New Roman"/>
    </w:rPr>
  </w:style>
  <w:style w:type="paragraph" w:styleId="Footer">
    <w:name w:val="footer"/>
    <w:basedOn w:val="Normal"/>
    <w:link w:val="FooterChar"/>
    <w:uiPriority w:val="99"/>
    <w:unhideWhenUsed/>
    <w:rsid w:val="002021B0"/>
    <w:pPr>
      <w:tabs>
        <w:tab w:val="center" w:pos="4680"/>
        <w:tab w:val="right" w:pos="9360"/>
      </w:tabs>
    </w:pPr>
  </w:style>
  <w:style w:type="character" w:customStyle="1" w:styleId="FooterChar">
    <w:name w:val="Footer Char"/>
    <w:basedOn w:val="DefaultParagraphFont"/>
    <w:link w:val="Footer"/>
    <w:uiPriority w:val="99"/>
    <w:rsid w:val="002021B0"/>
    <w:rPr>
      <w:rFonts w:ascii="Times New Roman" w:eastAsia="Times New Roman" w:hAnsi="Times New Roman" w:cs="Times New Roman"/>
    </w:rPr>
  </w:style>
  <w:style w:type="character" w:styleId="Hyperlink">
    <w:name w:val="Hyperlink"/>
    <w:basedOn w:val="DefaultParagraphFont"/>
    <w:uiPriority w:val="99"/>
    <w:semiHidden/>
    <w:unhideWhenUsed/>
    <w:rsid w:val="00C21B0D"/>
    <w:rPr>
      <w:color w:val="0000FF"/>
      <w:u w:val="single"/>
    </w:rPr>
  </w:style>
  <w:style w:type="paragraph" w:styleId="NormalWeb">
    <w:name w:val="Normal (Web)"/>
    <w:basedOn w:val="Normal"/>
    <w:uiPriority w:val="99"/>
    <w:rsid w:val="00C21B0D"/>
    <w:pPr>
      <w:widowControl/>
      <w:suppressAutoHyphens/>
      <w:autoSpaceDE/>
      <w:autoSpaceDN/>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rec/share/G6vWkwiOW85JQwFbdEWY0mf3Nkn89Ei3GvtmOQlLzK8mLzxbqdhGBfG42HRuRsw.RTfbym6HnVzuW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Green</dc:creator>
  <dc:description/>
  <cp:lastModifiedBy>Jessica Pierce</cp:lastModifiedBy>
  <cp:revision>2</cp:revision>
  <dcterms:created xsi:type="dcterms:W3CDTF">2023-04-27T17:34:00Z</dcterms:created>
  <dcterms:modified xsi:type="dcterms:W3CDTF">2023-04-27T17:34:00Z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Producer">
    <vt:lpwstr>Adobe PDF Library 22.3.90</vt:lpwstr>
  </property>
  <property fmtid="{D5CDD505-2E9C-101B-9397-08002B2CF9AE}" pid="6" name="SourceModified">
    <vt:lpwstr>D:20230209203832</vt:lpwstr>
  </property>
</Properties>
</file>